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80" w:rsidRPr="00FE0D80" w:rsidRDefault="00FE0D80" w:rsidP="00FE0D80">
      <w:pPr>
        <w:spacing w:after="12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E0D80">
        <w:rPr>
          <w:rFonts w:ascii="Arial" w:eastAsiaTheme="minorHAnsi" w:hAnsi="Arial" w:cs="Arial"/>
          <w:b/>
          <w:sz w:val="28"/>
          <w:szCs w:val="28"/>
          <w:lang w:eastAsia="en-US"/>
        </w:rPr>
        <w:t>RELAZIONE SULLA ATTIVITA’ SVOLTA NELL’ANNO 202</w:t>
      </w:r>
      <w:r w:rsidR="00D00C0A">
        <w:rPr>
          <w:rFonts w:ascii="Arial" w:eastAsiaTheme="minorHAnsi" w:hAnsi="Arial" w:cs="Arial"/>
          <w:b/>
          <w:sz w:val="28"/>
          <w:szCs w:val="28"/>
          <w:lang w:eastAsia="en-US"/>
        </w:rPr>
        <w:t>2</w:t>
      </w:r>
    </w:p>
    <w:p w:rsidR="00FE0D80" w:rsidRPr="00FE0D80" w:rsidRDefault="00FE0D80" w:rsidP="00FE0D80">
      <w:pPr>
        <w:spacing w:after="120"/>
        <w:rPr>
          <w:rFonts w:ascii="Arial" w:eastAsiaTheme="minorHAnsi" w:hAnsi="Arial" w:cs="Arial"/>
          <w:b/>
          <w:lang w:eastAsia="en-US"/>
        </w:rPr>
      </w:pPr>
    </w:p>
    <w:p w:rsidR="00FE0D80" w:rsidRPr="00FE0D80" w:rsidRDefault="00FE0D80" w:rsidP="00FE0D80">
      <w:pPr>
        <w:spacing w:after="6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E0D80">
        <w:rPr>
          <w:rFonts w:ascii="Arial" w:eastAsiaTheme="minorHAnsi" w:hAnsi="Arial" w:cs="Arial"/>
          <w:b/>
          <w:sz w:val="24"/>
          <w:szCs w:val="24"/>
          <w:lang w:eastAsia="en-US"/>
        </w:rPr>
        <w:t>Introduzione</w:t>
      </w:r>
    </w:p>
    <w:p w:rsidR="005566DF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L’anno 202</w:t>
      </w:r>
      <w:r w:rsidR="005566DF">
        <w:rPr>
          <w:rFonts w:ascii="Arial" w:eastAsiaTheme="minorHAnsi" w:hAnsi="Arial" w:cs="Arial"/>
          <w:lang w:eastAsia="en-US"/>
        </w:rPr>
        <w:t xml:space="preserve">2 ha visto uno straordinario sviluppo della associazione e delle attività, in particolare quelle di accompagnamento sociale. </w:t>
      </w:r>
    </w:p>
    <w:p w:rsidR="005566DF" w:rsidRDefault="005566DF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Ciò è riconducibile da un lato all’allentarsi della pressione del </w:t>
      </w:r>
      <w:proofErr w:type="spellStart"/>
      <w:r>
        <w:rPr>
          <w:rFonts w:ascii="Arial" w:eastAsiaTheme="minorHAnsi" w:hAnsi="Arial" w:cs="Arial"/>
          <w:lang w:eastAsia="en-US"/>
        </w:rPr>
        <w:t>Covid</w:t>
      </w:r>
      <w:proofErr w:type="spellEnd"/>
      <w:r>
        <w:rPr>
          <w:rFonts w:ascii="Arial" w:eastAsiaTheme="minorHAnsi" w:hAnsi="Arial" w:cs="Arial"/>
          <w:lang w:eastAsia="en-US"/>
        </w:rPr>
        <w:t>, anche in relazione alla diffusione delle vaccinazioni, dall’altro a una più capillare conoscenza dell’</w:t>
      </w:r>
      <w:r w:rsidR="00D00C0A">
        <w:rPr>
          <w:rFonts w:ascii="Arial" w:eastAsiaTheme="minorHAnsi" w:hAnsi="Arial" w:cs="Arial"/>
          <w:lang w:eastAsia="en-US"/>
        </w:rPr>
        <w:t xml:space="preserve">associazione da parte delle comunità locali, </w:t>
      </w:r>
      <w:r w:rsidR="00E11BE1">
        <w:rPr>
          <w:rFonts w:ascii="Arial" w:eastAsiaTheme="minorHAnsi" w:hAnsi="Arial" w:cs="Arial"/>
          <w:lang w:eastAsia="en-US"/>
        </w:rPr>
        <w:t xml:space="preserve">conseguenza delle </w:t>
      </w:r>
      <w:r w:rsidR="00D00C0A">
        <w:rPr>
          <w:rFonts w:ascii="Arial" w:eastAsiaTheme="minorHAnsi" w:hAnsi="Arial" w:cs="Arial"/>
          <w:lang w:eastAsia="en-US"/>
        </w:rPr>
        <w:t>iniziative i</w:t>
      </w:r>
      <w:r w:rsidR="00E11BE1">
        <w:rPr>
          <w:rFonts w:ascii="Arial" w:eastAsiaTheme="minorHAnsi" w:hAnsi="Arial" w:cs="Arial"/>
          <w:lang w:eastAsia="en-US"/>
        </w:rPr>
        <w:t>ntraprese e della iniziative di comunicazione.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566DF" w:rsidRDefault="005566DF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Conseguenza e causa nel contempo di questo sviluppo è il forte incremento del numero degli </w:t>
      </w:r>
      <w:r w:rsidR="00D00C0A">
        <w:rPr>
          <w:rFonts w:ascii="Arial" w:eastAsiaTheme="minorHAnsi" w:hAnsi="Arial" w:cs="Arial"/>
          <w:lang w:eastAsia="en-US"/>
        </w:rPr>
        <w:t>associati, passati da 133 a 281, con un incremento di oltre il 110%.</w:t>
      </w:r>
    </w:p>
    <w:p w:rsidR="005566DF" w:rsidRDefault="005566DF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E0D8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Attività di accompagnamento sociale (“Filo d’argento”) </w:t>
      </w: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Nel periodo in esame hanno usufruito del servizio di accompagnamento 48 persone, per un totale di 172 servizi effettuati, per complessivi 4.574 km percorsi e un impiego di 360 ore di volontari. </w:t>
      </w: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La maggior parte dei trasporti (circa il 75%) è relativo ad accompagnamenti a strutture sanitarie, compresi quelli per vaccinazione, il rimanente è per la spesa.  </w:t>
      </w:r>
    </w:p>
    <w:p w:rsid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La tabella seguente sintetizza Il quadro dei servizi di accompagnamento realizzati nel 2021, per bacino di utenza.</w:t>
      </w:r>
    </w:p>
    <w:tbl>
      <w:tblPr>
        <w:tblStyle w:val="Grigliatabella"/>
        <w:tblW w:w="0" w:type="auto"/>
        <w:tblInd w:w="1364" w:type="dxa"/>
        <w:tblLook w:val="04A0" w:firstRow="1" w:lastRow="0" w:firstColumn="1" w:lastColumn="0" w:noHBand="0" w:noVBand="1"/>
      </w:tblPr>
      <w:tblGrid>
        <w:gridCol w:w="1955"/>
        <w:gridCol w:w="1414"/>
        <w:gridCol w:w="1275"/>
        <w:gridCol w:w="1276"/>
        <w:gridCol w:w="992"/>
      </w:tblGrid>
      <w:tr w:rsidR="005566DF" w:rsidRPr="00FE0D80" w:rsidTr="002657AE">
        <w:tc>
          <w:tcPr>
            <w:tcW w:w="1955" w:type="dxa"/>
          </w:tcPr>
          <w:p w:rsidR="005566DF" w:rsidRPr="00FE0D80" w:rsidRDefault="005566DF" w:rsidP="002657AE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N° persone</w:t>
            </w:r>
          </w:p>
        </w:tc>
        <w:tc>
          <w:tcPr>
            <w:tcW w:w="1275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N° servizi</w:t>
            </w:r>
          </w:p>
        </w:tc>
        <w:tc>
          <w:tcPr>
            <w:tcW w:w="1276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km</w:t>
            </w:r>
          </w:p>
        </w:tc>
        <w:tc>
          <w:tcPr>
            <w:tcW w:w="992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ore</w:t>
            </w:r>
          </w:p>
        </w:tc>
      </w:tr>
      <w:tr w:rsidR="005566DF" w:rsidRPr="00FE0D80" w:rsidTr="002657AE">
        <w:tc>
          <w:tcPr>
            <w:tcW w:w="1955" w:type="dxa"/>
          </w:tcPr>
          <w:p w:rsidR="005566DF" w:rsidRPr="00FE0D80" w:rsidRDefault="005566DF" w:rsidP="002657AE">
            <w:pPr>
              <w:spacing w:after="60"/>
              <w:jc w:val="both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Cernobbio</w:t>
            </w:r>
          </w:p>
        </w:tc>
        <w:tc>
          <w:tcPr>
            <w:tcW w:w="1414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275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</w:t>
            </w:r>
          </w:p>
        </w:tc>
        <w:tc>
          <w:tcPr>
            <w:tcW w:w="1276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14.603</w:t>
            </w:r>
          </w:p>
        </w:tc>
        <w:tc>
          <w:tcPr>
            <w:tcW w:w="992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</w:t>
            </w:r>
          </w:p>
        </w:tc>
      </w:tr>
      <w:tr w:rsidR="005566DF" w:rsidRPr="00FE0D80" w:rsidTr="002657AE">
        <w:tc>
          <w:tcPr>
            <w:tcW w:w="1955" w:type="dxa"/>
          </w:tcPr>
          <w:p w:rsidR="005566DF" w:rsidRPr="00FE0D80" w:rsidRDefault="005566DF" w:rsidP="002657AE">
            <w:pPr>
              <w:spacing w:after="60"/>
              <w:jc w:val="both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Como</w:t>
            </w:r>
          </w:p>
        </w:tc>
        <w:tc>
          <w:tcPr>
            <w:tcW w:w="1414" w:type="dxa"/>
          </w:tcPr>
          <w:p w:rsidR="005566DF" w:rsidRPr="00FE0D80" w:rsidRDefault="001A0B9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75" w:type="dxa"/>
          </w:tcPr>
          <w:p w:rsidR="005566DF" w:rsidRPr="00FE0D80" w:rsidRDefault="002709DA" w:rsidP="00D617FD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617FD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5566DF" w:rsidRPr="00FE0D80" w:rsidRDefault="002709DA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1.289</w:t>
            </w:r>
          </w:p>
        </w:tc>
        <w:tc>
          <w:tcPr>
            <w:tcW w:w="992" w:type="dxa"/>
          </w:tcPr>
          <w:p w:rsidR="005566DF" w:rsidRPr="00FE0D80" w:rsidRDefault="002709DA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5566DF" w:rsidRPr="00FE0D80" w:rsidTr="002657AE">
        <w:tc>
          <w:tcPr>
            <w:tcW w:w="1955" w:type="dxa"/>
          </w:tcPr>
          <w:p w:rsidR="005566DF" w:rsidRPr="00FE0D80" w:rsidRDefault="005566DF" w:rsidP="002657AE">
            <w:pPr>
              <w:spacing w:after="60"/>
              <w:jc w:val="both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Moltrasio</w:t>
            </w:r>
          </w:p>
        </w:tc>
        <w:tc>
          <w:tcPr>
            <w:tcW w:w="1414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2.216</w:t>
            </w:r>
          </w:p>
        </w:tc>
        <w:tc>
          <w:tcPr>
            <w:tcW w:w="992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5566DF" w:rsidRPr="00FE0D80" w:rsidTr="002657AE">
        <w:tc>
          <w:tcPr>
            <w:tcW w:w="1955" w:type="dxa"/>
          </w:tcPr>
          <w:p w:rsidR="005566DF" w:rsidRPr="00FE0D80" w:rsidRDefault="005566DF" w:rsidP="002657A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Carate Urio</w:t>
            </w:r>
          </w:p>
        </w:tc>
        <w:tc>
          <w:tcPr>
            <w:tcW w:w="1414" w:type="dxa"/>
          </w:tcPr>
          <w:p w:rsidR="005566DF" w:rsidRPr="00FE0D80" w:rsidRDefault="005566DF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5566DF" w:rsidRPr="00FE0D80" w:rsidRDefault="00005C4C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992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5566DF" w:rsidRPr="00FE0D80" w:rsidTr="002657AE">
        <w:tc>
          <w:tcPr>
            <w:tcW w:w="1955" w:type="dxa"/>
          </w:tcPr>
          <w:p w:rsidR="005566DF" w:rsidRPr="00FE0D80" w:rsidRDefault="005566DF" w:rsidP="00A06261">
            <w:pPr>
              <w:spacing w:after="60"/>
              <w:jc w:val="both"/>
              <w:rPr>
                <w:rFonts w:ascii="Arial" w:hAnsi="Arial" w:cs="Arial"/>
              </w:rPr>
            </w:pPr>
            <w:r w:rsidRPr="00FE0D80">
              <w:rPr>
                <w:rFonts w:ascii="Arial" w:hAnsi="Arial" w:cs="Arial"/>
              </w:rPr>
              <w:t>Laglio</w:t>
            </w:r>
          </w:p>
        </w:tc>
        <w:tc>
          <w:tcPr>
            <w:tcW w:w="1414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2.850</w:t>
            </w:r>
          </w:p>
        </w:tc>
        <w:tc>
          <w:tcPr>
            <w:tcW w:w="992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5566DF" w:rsidRPr="00FE0D80" w:rsidTr="002657AE">
        <w:tc>
          <w:tcPr>
            <w:tcW w:w="1955" w:type="dxa"/>
          </w:tcPr>
          <w:p w:rsidR="00A06261" w:rsidRPr="00FE0D80" w:rsidRDefault="00A06261" w:rsidP="00A06261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Brienno</w:t>
            </w:r>
          </w:p>
        </w:tc>
        <w:tc>
          <w:tcPr>
            <w:tcW w:w="1414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A06261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A0626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A06261">
              <w:rPr>
                <w:rFonts w:ascii="Arial" w:hAnsi="Arial" w:cs="Arial"/>
              </w:rPr>
              <w:t>139</w:t>
            </w:r>
          </w:p>
        </w:tc>
        <w:tc>
          <w:tcPr>
            <w:tcW w:w="992" w:type="dxa"/>
          </w:tcPr>
          <w:p w:rsidR="005566DF" w:rsidRPr="00FE0D80" w:rsidRDefault="00A06261" w:rsidP="002657AE">
            <w:pPr>
              <w:spacing w:after="60"/>
              <w:jc w:val="right"/>
              <w:rPr>
                <w:rFonts w:ascii="Arial" w:hAnsi="Arial" w:cs="Arial"/>
              </w:rPr>
            </w:pPr>
            <w:r w:rsidRPr="00A06261">
              <w:rPr>
                <w:rFonts w:ascii="Arial" w:hAnsi="Arial" w:cs="Arial"/>
              </w:rPr>
              <w:t>9</w:t>
            </w:r>
          </w:p>
        </w:tc>
      </w:tr>
      <w:tr w:rsidR="00A06261" w:rsidRPr="00FE0D80" w:rsidTr="002657AE">
        <w:tc>
          <w:tcPr>
            <w:tcW w:w="1955" w:type="dxa"/>
          </w:tcPr>
          <w:p w:rsidR="00A06261" w:rsidRPr="001A0B9F" w:rsidRDefault="00A06261" w:rsidP="00A06261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1A0B9F">
              <w:rPr>
                <w:rFonts w:ascii="Arial" w:hAnsi="Arial" w:cs="Arial"/>
                <w:b/>
              </w:rPr>
              <w:t>TOTALE</w:t>
            </w:r>
            <w:r w:rsidR="008612C0">
              <w:rPr>
                <w:rFonts w:ascii="Arial" w:hAnsi="Arial" w:cs="Arial"/>
                <w:b/>
              </w:rPr>
              <w:t xml:space="preserve"> 2022</w:t>
            </w:r>
          </w:p>
        </w:tc>
        <w:tc>
          <w:tcPr>
            <w:tcW w:w="1414" w:type="dxa"/>
          </w:tcPr>
          <w:p w:rsidR="00A06261" w:rsidRPr="001A0B9F" w:rsidRDefault="001A0B9F" w:rsidP="002657AE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1A0B9F"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1275" w:type="dxa"/>
          </w:tcPr>
          <w:p w:rsidR="00A06261" w:rsidRPr="001A0B9F" w:rsidRDefault="002709DA" w:rsidP="001A0B9F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1A0B9F">
              <w:rPr>
                <w:rFonts w:ascii="Arial" w:hAnsi="Arial" w:cs="Arial"/>
                <w:b/>
              </w:rPr>
              <w:t>79</w:t>
            </w:r>
            <w:r w:rsidR="00005C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A06261" w:rsidRPr="001A0B9F" w:rsidRDefault="002709DA" w:rsidP="002657AE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1A0B9F">
              <w:rPr>
                <w:rFonts w:ascii="Arial" w:hAnsi="Arial" w:cs="Arial"/>
                <w:b/>
              </w:rPr>
              <w:t>21.450</w:t>
            </w:r>
          </w:p>
        </w:tc>
        <w:tc>
          <w:tcPr>
            <w:tcW w:w="992" w:type="dxa"/>
          </w:tcPr>
          <w:p w:rsidR="00A06261" w:rsidRPr="001A0B9F" w:rsidRDefault="002709DA" w:rsidP="002657AE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1A0B9F">
              <w:rPr>
                <w:rFonts w:ascii="Arial" w:hAnsi="Arial" w:cs="Arial"/>
                <w:b/>
              </w:rPr>
              <w:t>1.367</w:t>
            </w:r>
          </w:p>
        </w:tc>
      </w:tr>
      <w:tr w:rsidR="001A0B9F" w:rsidRPr="00FE0D80" w:rsidTr="002657AE">
        <w:tc>
          <w:tcPr>
            <w:tcW w:w="1955" w:type="dxa"/>
          </w:tcPr>
          <w:p w:rsidR="001A0B9F" w:rsidRPr="001A0B9F" w:rsidRDefault="008612C0" w:rsidP="00A06261">
            <w:pPr>
              <w:spacing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2021</w:t>
            </w:r>
          </w:p>
        </w:tc>
        <w:tc>
          <w:tcPr>
            <w:tcW w:w="1414" w:type="dxa"/>
          </w:tcPr>
          <w:p w:rsidR="001A0B9F" w:rsidRPr="001A0B9F" w:rsidRDefault="001A0B9F" w:rsidP="002657AE">
            <w:pPr>
              <w:spacing w:after="60"/>
              <w:jc w:val="right"/>
              <w:rPr>
                <w:rFonts w:ascii="Arial" w:hAnsi="Arial" w:cs="Arial"/>
                <w:i/>
              </w:rPr>
            </w:pPr>
            <w:r w:rsidRPr="001A0B9F">
              <w:rPr>
                <w:rFonts w:ascii="Arial" w:hAnsi="Arial" w:cs="Arial"/>
                <w:i/>
              </w:rPr>
              <w:t>48</w:t>
            </w:r>
          </w:p>
        </w:tc>
        <w:tc>
          <w:tcPr>
            <w:tcW w:w="1275" w:type="dxa"/>
          </w:tcPr>
          <w:p w:rsidR="001A0B9F" w:rsidRPr="001A0B9F" w:rsidRDefault="001A0B9F" w:rsidP="001A0B9F">
            <w:pPr>
              <w:spacing w:after="60"/>
              <w:jc w:val="right"/>
              <w:rPr>
                <w:rFonts w:ascii="Arial" w:hAnsi="Arial" w:cs="Arial"/>
                <w:i/>
              </w:rPr>
            </w:pPr>
            <w:r w:rsidRPr="001A0B9F">
              <w:rPr>
                <w:rFonts w:ascii="Arial" w:hAnsi="Arial" w:cs="Arial"/>
                <w:i/>
              </w:rPr>
              <w:t>172</w:t>
            </w:r>
          </w:p>
        </w:tc>
        <w:tc>
          <w:tcPr>
            <w:tcW w:w="1276" w:type="dxa"/>
          </w:tcPr>
          <w:p w:rsidR="001A0B9F" w:rsidRPr="001A0B9F" w:rsidRDefault="001A0B9F" w:rsidP="002657AE">
            <w:pPr>
              <w:spacing w:after="60"/>
              <w:jc w:val="right"/>
              <w:rPr>
                <w:rFonts w:ascii="Arial" w:hAnsi="Arial" w:cs="Arial"/>
                <w:i/>
              </w:rPr>
            </w:pPr>
            <w:r w:rsidRPr="001A0B9F">
              <w:rPr>
                <w:rFonts w:ascii="Arial" w:hAnsi="Arial" w:cs="Arial"/>
                <w:i/>
              </w:rPr>
              <w:t>4.574</w:t>
            </w:r>
          </w:p>
        </w:tc>
        <w:tc>
          <w:tcPr>
            <w:tcW w:w="992" w:type="dxa"/>
          </w:tcPr>
          <w:p w:rsidR="001A0B9F" w:rsidRPr="001A0B9F" w:rsidRDefault="001A0B9F" w:rsidP="002657AE">
            <w:pPr>
              <w:spacing w:after="60"/>
              <w:jc w:val="right"/>
              <w:rPr>
                <w:rFonts w:ascii="Arial" w:hAnsi="Arial" w:cs="Arial"/>
                <w:i/>
              </w:rPr>
            </w:pPr>
            <w:r w:rsidRPr="001A0B9F">
              <w:rPr>
                <w:rFonts w:ascii="Arial" w:hAnsi="Arial" w:cs="Arial"/>
                <w:i/>
              </w:rPr>
              <w:t>360</w:t>
            </w:r>
          </w:p>
        </w:tc>
      </w:tr>
    </w:tbl>
    <w:p w:rsidR="005566DF" w:rsidRDefault="005566DF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5566DF" w:rsidRDefault="00005C4C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Si è avuto quindi, rispetto all’anno precedente un incremento di oltre il 350% nel numero dei servizi</w:t>
      </w:r>
      <w:r w:rsidR="0022459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nei chilometri percorsi</w:t>
      </w:r>
      <w:r w:rsidR="00224596">
        <w:rPr>
          <w:rFonts w:ascii="Arial" w:eastAsiaTheme="minorHAnsi" w:hAnsi="Arial" w:cs="Arial"/>
          <w:lang w:eastAsia="en-US"/>
        </w:rPr>
        <w:t xml:space="preserve"> e nelle ore impiagate dai volontari</w:t>
      </w:r>
      <w:r>
        <w:rPr>
          <w:rFonts w:ascii="Arial" w:eastAsiaTheme="minorHAnsi" w:hAnsi="Arial" w:cs="Arial"/>
          <w:lang w:eastAsia="en-US"/>
        </w:rPr>
        <w:t>. Ci sono poi situazioni particolari: a Cernobbio i servizi  e i chilometri si sono quintuplicati, a Laglio i servizi sono cresciuti di 20 volte, a Carate Urio si sono avuti i primi servizi nell’ultima parte dell’anno.</w:t>
      </w:r>
    </w:p>
    <w:p w:rsidR="00E65D79" w:rsidRDefault="00E65D79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E11BE1">
        <w:rPr>
          <w:rFonts w:ascii="Arial" w:eastAsiaTheme="minorHAnsi" w:hAnsi="Arial" w:cs="Arial"/>
          <w:lang w:eastAsia="en-US"/>
        </w:rPr>
        <w:t>Cernobbio continua ad essere il baricentro della attività di accompagnamento, con il 72 % dei servizi e il 68% dei km</w:t>
      </w:r>
      <w:r>
        <w:rPr>
          <w:rFonts w:ascii="Arial" w:eastAsiaTheme="minorHAnsi" w:hAnsi="Arial" w:cs="Arial"/>
          <w:lang w:eastAsia="en-US"/>
        </w:rPr>
        <w:t>.</w:t>
      </w:r>
    </w:p>
    <w:p w:rsidR="00F54544" w:rsidRDefault="00F54544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Si sono avuti, nel corso dell’anno, servizi congiunti, in collaborazione con Auser Camerlata e servizi svolti per conto di Auser Camerlata, per supplire a momentanee criticità.</w:t>
      </w:r>
    </w:p>
    <w:p w:rsidR="00E65D79" w:rsidRPr="00E65D79" w:rsidRDefault="00E65D79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E65D79">
        <w:rPr>
          <w:rFonts w:ascii="Arial" w:eastAsiaTheme="minorHAnsi" w:hAnsi="Arial" w:cs="Arial"/>
          <w:lang w:eastAsia="en-US"/>
        </w:rPr>
        <w:lastRenderedPageBreak/>
        <w:t>L’utilizzo dei mezzi a disposizione è stato di 9.000 chilometri per il Doblò messo a disposizione dal Comune di Cernobbio</w:t>
      </w:r>
      <w:r w:rsidR="0003403C">
        <w:rPr>
          <w:rFonts w:ascii="Arial" w:eastAsiaTheme="minorHAnsi" w:hAnsi="Arial" w:cs="Arial"/>
          <w:lang w:eastAsia="en-US"/>
        </w:rPr>
        <w:t xml:space="preserve"> (rinnovato da novembre)</w:t>
      </w:r>
      <w:r w:rsidRPr="00E65D79">
        <w:rPr>
          <w:rFonts w:ascii="Arial" w:eastAsiaTheme="minorHAnsi" w:hAnsi="Arial" w:cs="Arial"/>
          <w:lang w:eastAsia="en-US"/>
        </w:rPr>
        <w:t xml:space="preserve">, di 6.500 per la Polo e di 5.000 per la </w:t>
      </w:r>
      <w:proofErr w:type="spellStart"/>
      <w:r w:rsidRPr="00E65D79">
        <w:rPr>
          <w:rFonts w:ascii="Arial" w:eastAsiaTheme="minorHAnsi" w:hAnsi="Arial" w:cs="Arial"/>
          <w:lang w:eastAsia="en-US"/>
        </w:rPr>
        <w:t>Sandero</w:t>
      </w:r>
      <w:proofErr w:type="spellEnd"/>
      <w:r w:rsidRPr="00E65D79">
        <w:rPr>
          <w:rFonts w:ascii="Arial" w:eastAsiaTheme="minorHAnsi" w:hAnsi="Arial" w:cs="Arial"/>
          <w:lang w:eastAsia="en-US"/>
        </w:rPr>
        <w:t xml:space="preserve"> entra</w:t>
      </w:r>
      <w:r w:rsidR="000155D3">
        <w:rPr>
          <w:rFonts w:ascii="Arial" w:eastAsiaTheme="minorHAnsi" w:hAnsi="Arial" w:cs="Arial"/>
          <w:lang w:eastAsia="en-US"/>
        </w:rPr>
        <w:t>ta in esercizio a inizio agosto; il rimanente con auto private o di Camerlata.</w:t>
      </w: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065CB">
        <w:rPr>
          <w:rFonts w:ascii="Arial" w:eastAsiaTheme="minorHAnsi" w:hAnsi="Arial" w:cs="Arial"/>
          <w:lang w:eastAsia="en-US"/>
        </w:rPr>
        <w:t>I volontari assicurati per l’accompagnamento per l’anno 202</w:t>
      </w:r>
      <w:r w:rsidR="00E11BE1" w:rsidRPr="00F065CB">
        <w:rPr>
          <w:rFonts w:ascii="Arial" w:eastAsiaTheme="minorHAnsi" w:hAnsi="Arial" w:cs="Arial"/>
          <w:lang w:eastAsia="en-US"/>
        </w:rPr>
        <w:t>2</w:t>
      </w:r>
      <w:r w:rsidRPr="00F065CB">
        <w:rPr>
          <w:rFonts w:ascii="Arial" w:eastAsiaTheme="minorHAnsi" w:hAnsi="Arial" w:cs="Arial"/>
          <w:lang w:eastAsia="en-US"/>
        </w:rPr>
        <w:t xml:space="preserve"> sono complessivamente 1</w:t>
      </w:r>
      <w:r w:rsidR="00E11BE1" w:rsidRPr="00F065CB">
        <w:rPr>
          <w:rFonts w:ascii="Arial" w:eastAsiaTheme="minorHAnsi" w:hAnsi="Arial" w:cs="Arial"/>
          <w:lang w:eastAsia="en-US"/>
        </w:rPr>
        <w:t>9</w:t>
      </w:r>
      <w:r w:rsidRPr="00F065CB">
        <w:rPr>
          <w:rFonts w:ascii="Arial" w:eastAsiaTheme="minorHAnsi" w:hAnsi="Arial" w:cs="Arial"/>
          <w:lang w:eastAsia="en-US"/>
        </w:rPr>
        <w:t xml:space="preserve">, anche se non tutti </w:t>
      </w:r>
      <w:r w:rsidR="00E11BE1" w:rsidRPr="00F065CB">
        <w:rPr>
          <w:rFonts w:ascii="Arial" w:eastAsiaTheme="minorHAnsi" w:hAnsi="Arial" w:cs="Arial"/>
          <w:lang w:eastAsia="en-US"/>
        </w:rPr>
        <w:t>regolarmente attivi nel corso di tu</w:t>
      </w:r>
      <w:r w:rsidR="00F065CB" w:rsidRPr="00F065CB">
        <w:rPr>
          <w:rFonts w:ascii="Arial" w:eastAsiaTheme="minorHAnsi" w:hAnsi="Arial" w:cs="Arial"/>
          <w:lang w:eastAsia="en-US"/>
        </w:rPr>
        <w:t>t</w:t>
      </w:r>
      <w:r w:rsidR="00E11BE1" w:rsidRPr="00F065CB">
        <w:rPr>
          <w:rFonts w:ascii="Arial" w:eastAsiaTheme="minorHAnsi" w:hAnsi="Arial" w:cs="Arial"/>
          <w:lang w:eastAsia="en-US"/>
        </w:rPr>
        <w:t>to l</w:t>
      </w:r>
      <w:r w:rsidR="00F065CB" w:rsidRPr="00F065CB">
        <w:rPr>
          <w:rFonts w:ascii="Arial" w:eastAsiaTheme="minorHAnsi" w:hAnsi="Arial" w:cs="Arial"/>
          <w:lang w:eastAsia="en-US"/>
        </w:rPr>
        <w:t>’</w:t>
      </w:r>
      <w:r w:rsidR="00E11BE1" w:rsidRPr="00F065CB">
        <w:rPr>
          <w:rFonts w:ascii="Arial" w:eastAsiaTheme="minorHAnsi" w:hAnsi="Arial" w:cs="Arial"/>
          <w:lang w:eastAsia="en-US"/>
        </w:rPr>
        <w:t>anno.</w:t>
      </w:r>
      <w:r w:rsidRPr="00F065CB">
        <w:rPr>
          <w:rFonts w:ascii="Arial" w:eastAsiaTheme="minorHAnsi" w:hAnsi="Arial" w:cs="Arial"/>
          <w:lang w:eastAsia="en-US"/>
        </w:rPr>
        <w:t xml:space="preserve"> Tale numero elevato corrisponde alla esigenza di flessibilità per assicurare tutti i servizi richiesti tenendo conto della effett</w:t>
      </w:r>
      <w:r w:rsidR="00F065CB" w:rsidRPr="00F065CB">
        <w:rPr>
          <w:rFonts w:ascii="Arial" w:eastAsiaTheme="minorHAnsi" w:hAnsi="Arial" w:cs="Arial"/>
          <w:lang w:eastAsia="en-US"/>
        </w:rPr>
        <w:t>iva disponibilità dei volontari, spesso</w:t>
      </w:r>
      <w:r w:rsidR="00F065CB">
        <w:rPr>
          <w:rFonts w:ascii="Arial" w:eastAsiaTheme="minorHAnsi" w:hAnsi="Arial" w:cs="Arial"/>
          <w:lang w:eastAsia="en-US"/>
        </w:rPr>
        <w:t xml:space="preserve"> imitata a una o due mezze giornate.</w:t>
      </w:r>
      <w:r w:rsidRPr="00FE0D80">
        <w:rPr>
          <w:rFonts w:ascii="Arial" w:eastAsiaTheme="minorHAnsi" w:hAnsi="Arial" w:cs="Arial"/>
          <w:lang w:eastAsia="en-US"/>
        </w:rPr>
        <w:t xml:space="preserve">  </w:t>
      </w:r>
    </w:p>
    <w:p w:rsidR="005566DF" w:rsidRDefault="005566DF" w:rsidP="00FE0D80">
      <w:pPr>
        <w:spacing w:after="6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E0D80">
        <w:rPr>
          <w:rFonts w:ascii="Arial" w:eastAsiaTheme="minorHAnsi" w:hAnsi="Arial" w:cs="Arial"/>
          <w:b/>
          <w:sz w:val="24"/>
          <w:szCs w:val="24"/>
          <w:lang w:eastAsia="en-US"/>
        </w:rPr>
        <w:t>Altri servizi e attività</w:t>
      </w: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Per completare il quadro delle attività svolte da Auser, nell’ottica generale di volontariato sociale  e per favorire l’invecchiamento attivo si ricordano:</w:t>
      </w:r>
    </w:p>
    <w:p w:rsidR="00FE0D80" w:rsidRPr="00FE0D80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l’organizzazione del soggiorno estivo </w:t>
      </w:r>
      <w:r w:rsidR="008612C0">
        <w:rPr>
          <w:rFonts w:ascii="Arial" w:eastAsiaTheme="minorHAnsi" w:hAnsi="Arial" w:cs="Arial"/>
          <w:lang w:eastAsia="en-US"/>
        </w:rPr>
        <w:t>a Montesilvano</w:t>
      </w:r>
      <w:r w:rsidR="008612C0">
        <w:rPr>
          <w:rFonts w:ascii="Arial" w:eastAsiaTheme="minorHAnsi" w:hAnsi="Arial" w:cs="Arial"/>
          <w:lang w:eastAsia="en-US"/>
        </w:rPr>
        <w:t xml:space="preserve"> (</w:t>
      </w:r>
      <w:r w:rsidRPr="00FE0D80">
        <w:rPr>
          <w:rFonts w:ascii="Arial" w:eastAsiaTheme="minorHAnsi" w:hAnsi="Arial" w:cs="Arial"/>
          <w:lang w:eastAsia="en-US"/>
        </w:rPr>
        <w:t xml:space="preserve">oltre 30 </w:t>
      </w:r>
      <w:r w:rsidR="008612C0">
        <w:rPr>
          <w:rFonts w:ascii="Arial" w:eastAsiaTheme="minorHAnsi" w:hAnsi="Arial" w:cs="Arial"/>
          <w:lang w:eastAsia="en-US"/>
        </w:rPr>
        <w:t>partecipanti) e termale a Ischia (10 partecipanti), oltre alla gita a Brescia (28 partecipanti)</w:t>
      </w:r>
    </w:p>
    <w:p w:rsidR="00FE0D80" w:rsidRPr="00FE0D80" w:rsidRDefault="00F065CB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tre</w:t>
      </w:r>
      <w:r w:rsidR="00FE0D80" w:rsidRPr="00FE0D80">
        <w:rPr>
          <w:rFonts w:ascii="Arial" w:eastAsiaTheme="minorHAnsi" w:hAnsi="Arial" w:cs="Arial"/>
          <w:lang w:eastAsia="en-US"/>
        </w:rPr>
        <w:t xml:space="preserve"> spor</w:t>
      </w:r>
      <w:r>
        <w:rPr>
          <w:rFonts w:ascii="Arial" w:eastAsiaTheme="minorHAnsi" w:hAnsi="Arial" w:cs="Arial"/>
          <w:lang w:eastAsia="en-US"/>
        </w:rPr>
        <w:t xml:space="preserve">telli informativi e di servizio - </w:t>
      </w:r>
      <w:r w:rsidRPr="00FE0D80">
        <w:rPr>
          <w:rFonts w:ascii="Arial" w:eastAsiaTheme="minorHAnsi" w:hAnsi="Arial" w:cs="Arial"/>
          <w:lang w:eastAsia="en-US"/>
        </w:rPr>
        <w:t>a Cernobbio, presso il centro Cernobbio 2000</w:t>
      </w:r>
      <w:r>
        <w:rPr>
          <w:rFonts w:ascii="Arial" w:eastAsiaTheme="minorHAnsi" w:hAnsi="Arial" w:cs="Arial"/>
          <w:lang w:eastAsia="en-US"/>
        </w:rPr>
        <w:t xml:space="preserve"> (con due aperture settimanali </w:t>
      </w:r>
      <w:r w:rsidR="00FE0D80" w:rsidRPr="00FE0D80">
        <w:rPr>
          <w:rFonts w:ascii="Arial" w:eastAsiaTheme="minorHAnsi" w:hAnsi="Arial" w:cs="Arial"/>
          <w:lang w:eastAsia="en-US"/>
        </w:rPr>
        <w:t xml:space="preserve">a partire da maggio, </w:t>
      </w:r>
      <w:r>
        <w:rPr>
          <w:rFonts w:ascii="Arial" w:eastAsiaTheme="minorHAnsi" w:hAnsi="Arial" w:cs="Arial"/>
          <w:lang w:eastAsia="en-US"/>
        </w:rPr>
        <w:t xml:space="preserve">a Cernobbio presso il centro civico di Piazza santo </w:t>
      </w:r>
      <w:proofErr w:type="spellStart"/>
      <w:r>
        <w:rPr>
          <w:rFonts w:ascii="Arial" w:eastAsiaTheme="minorHAnsi" w:hAnsi="Arial" w:cs="Arial"/>
          <w:lang w:eastAsia="en-US"/>
        </w:rPr>
        <w:t>stefano</w:t>
      </w:r>
      <w:proofErr w:type="spellEnd"/>
      <w:r>
        <w:rPr>
          <w:rFonts w:ascii="Arial" w:eastAsiaTheme="minorHAnsi" w:hAnsi="Arial" w:cs="Arial"/>
          <w:lang w:eastAsia="en-US"/>
        </w:rPr>
        <w:t xml:space="preserve"> (con una apertura settimanale, un po’ saltuaria) </w:t>
      </w:r>
      <w:r w:rsidR="00FE0D80" w:rsidRPr="00FE0D80">
        <w:rPr>
          <w:rFonts w:ascii="Arial" w:eastAsiaTheme="minorHAnsi" w:hAnsi="Arial" w:cs="Arial"/>
          <w:lang w:eastAsia="en-US"/>
        </w:rPr>
        <w:t xml:space="preserve">e a Moltrasio </w:t>
      </w:r>
      <w:r>
        <w:rPr>
          <w:rFonts w:ascii="Arial" w:eastAsiaTheme="minorHAnsi" w:hAnsi="Arial" w:cs="Arial"/>
          <w:lang w:eastAsia="en-US"/>
        </w:rPr>
        <w:t>(</w:t>
      </w:r>
      <w:r w:rsidR="00FE0D80" w:rsidRPr="00FE0D80">
        <w:rPr>
          <w:rFonts w:ascii="Arial" w:eastAsiaTheme="minorHAnsi" w:hAnsi="Arial" w:cs="Arial"/>
          <w:lang w:eastAsia="en-US"/>
        </w:rPr>
        <w:t>con una apertura settimanale</w:t>
      </w:r>
      <w:r>
        <w:rPr>
          <w:rFonts w:ascii="Arial" w:eastAsiaTheme="minorHAnsi" w:hAnsi="Arial" w:cs="Arial"/>
          <w:lang w:eastAsia="en-US"/>
        </w:rPr>
        <w:t>)</w:t>
      </w:r>
    </w:p>
    <w:p w:rsidR="00FE0D80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il supporto </w:t>
      </w:r>
      <w:r w:rsidR="00F065CB">
        <w:rPr>
          <w:rFonts w:ascii="Arial" w:eastAsiaTheme="minorHAnsi" w:hAnsi="Arial" w:cs="Arial"/>
          <w:lang w:eastAsia="en-US"/>
        </w:rPr>
        <w:t xml:space="preserve">logistico-organizzativo </w:t>
      </w:r>
      <w:r w:rsidRPr="00FE0D80">
        <w:rPr>
          <w:rFonts w:ascii="Arial" w:eastAsiaTheme="minorHAnsi" w:hAnsi="Arial" w:cs="Arial"/>
          <w:lang w:eastAsia="en-US"/>
        </w:rPr>
        <w:t>a</w:t>
      </w:r>
      <w:r w:rsidR="00F065CB">
        <w:rPr>
          <w:rFonts w:ascii="Arial" w:eastAsiaTheme="minorHAnsi" w:hAnsi="Arial" w:cs="Arial"/>
          <w:lang w:eastAsia="en-US"/>
        </w:rPr>
        <w:t xml:space="preserve"> due centri</w:t>
      </w:r>
      <w:r w:rsidRPr="00FE0D80">
        <w:rPr>
          <w:rFonts w:ascii="Arial" w:eastAsiaTheme="minorHAnsi" w:hAnsi="Arial" w:cs="Arial"/>
          <w:lang w:eastAsia="en-US"/>
        </w:rPr>
        <w:t xml:space="preserve"> di ritrovo per anziani </w:t>
      </w:r>
      <w:r w:rsidR="00F065CB">
        <w:rPr>
          <w:rFonts w:ascii="Arial" w:eastAsiaTheme="minorHAnsi" w:hAnsi="Arial" w:cs="Arial"/>
          <w:lang w:eastAsia="en-US"/>
        </w:rPr>
        <w:t xml:space="preserve">- </w:t>
      </w:r>
      <w:r w:rsidRPr="00FE0D80">
        <w:rPr>
          <w:rFonts w:ascii="Arial" w:eastAsiaTheme="minorHAnsi" w:hAnsi="Arial" w:cs="Arial"/>
          <w:lang w:eastAsia="en-US"/>
        </w:rPr>
        <w:t>presso l’oratorio di Cernobbio</w:t>
      </w:r>
      <w:r w:rsidR="00F065CB">
        <w:rPr>
          <w:rFonts w:ascii="Arial" w:eastAsiaTheme="minorHAnsi" w:hAnsi="Arial" w:cs="Arial"/>
          <w:lang w:eastAsia="en-US"/>
        </w:rPr>
        <w:t xml:space="preserve"> (a partire dal </w:t>
      </w:r>
      <w:r w:rsidRPr="00FE0D80">
        <w:rPr>
          <w:rFonts w:ascii="Arial" w:eastAsiaTheme="minorHAnsi" w:hAnsi="Arial" w:cs="Arial"/>
          <w:lang w:eastAsia="en-US"/>
        </w:rPr>
        <w:t xml:space="preserve"> 9 novembre</w:t>
      </w:r>
      <w:r w:rsidR="00F065CB">
        <w:rPr>
          <w:rFonts w:ascii="Arial" w:eastAsiaTheme="minorHAnsi" w:hAnsi="Arial" w:cs="Arial"/>
          <w:lang w:eastAsia="en-US"/>
        </w:rPr>
        <w:t>) e a Piazza Santo Stefano (gestito dal gruppo Dono del Tempo)</w:t>
      </w:r>
    </w:p>
    <w:p w:rsidR="008612C0" w:rsidRPr="00FE0D80" w:rsidRDefault="008612C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l’avvio del corso di </w:t>
      </w:r>
      <w:proofErr w:type="spellStart"/>
      <w:r>
        <w:rPr>
          <w:rFonts w:ascii="Arial" w:eastAsiaTheme="minorHAnsi" w:hAnsi="Arial" w:cs="Arial"/>
          <w:lang w:eastAsia="en-US"/>
        </w:rPr>
        <w:t>QiGong</w:t>
      </w:r>
      <w:proofErr w:type="spellEnd"/>
      <w:r>
        <w:rPr>
          <w:rFonts w:ascii="Arial" w:eastAsiaTheme="minorHAnsi" w:hAnsi="Arial" w:cs="Arial"/>
          <w:lang w:eastAsia="en-US"/>
        </w:rPr>
        <w:t xml:space="preserve"> in due sedi, Cernobbio e Carate Urio</w:t>
      </w:r>
    </w:p>
    <w:p w:rsidR="00FE0D80" w:rsidRPr="00FE0D80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il servizio personalizzato di assistenza all’utilizzo di </w:t>
      </w:r>
      <w:proofErr w:type="spellStart"/>
      <w:r w:rsidRPr="00FE0D80">
        <w:rPr>
          <w:rFonts w:ascii="Arial" w:eastAsiaTheme="minorHAnsi" w:hAnsi="Arial" w:cs="Arial"/>
          <w:lang w:eastAsia="en-US"/>
        </w:rPr>
        <w:t>smartphone</w:t>
      </w:r>
      <w:proofErr w:type="spellEnd"/>
    </w:p>
    <w:p w:rsidR="00FE0D80" w:rsidRPr="00FE0D80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iniziative socio culturali</w:t>
      </w:r>
      <w:r w:rsidR="00F065CB">
        <w:rPr>
          <w:rFonts w:ascii="Arial" w:eastAsiaTheme="minorHAnsi" w:hAnsi="Arial" w:cs="Arial"/>
          <w:lang w:eastAsia="en-US"/>
        </w:rPr>
        <w:t xml:space="preserve">: </w:t>
      </w:r>
      <w:r w:rsidRPr="00FE0D80">
        <w:rPr>
          <w:rFonts w:ascii="Arial" w:eastAsiaTheme="minorHAnsi" w:hAnsi="Arial" w:cs="Arial"/>
          <w:lang w:eastAsia="en-US"/>
        </w:rPr>
        <w:t>c</w:t>
      </w:r>
      <w:r w:rsidR="00F065CB">
        <w:rPr>
          <w:rFonts w:ascii="Arial" w:eastAsiaTheme="minorHAnsi" w:hAnsi="Arial" w:cs="Arial"/>
          <w:lang w:eastAsia="en-US"/>
        </w:rPr>
        <w:t>orsi di Inglese (su due livelli)</w:t>
      </w:r>
      <w:r w:rsidRPr="00FE0D80">
        <w:rPr>
          <w:rFonts w:ascii="Arial" w:eastAsiaTheme="minorHAnsi" w:hAnsi="Arial" w:cs="Arial"/>
          <w:lang w:eastAsia="en-US"/>
        </w:rPr>
        <w:t xml:space="preserve"> e ciclo di incontri con gli autori a Villa </w:t>
      </w:r>
      <w:proofErr w:type="spellStart"/>
      <w:r w:rsidRPr="00FE0D80">
        <w:rPr>
          <w:rFonts w:ascii="Arial" w:eastAsiaTheme="minorHAnsi" w:hAnsi="Arial" w:cs="Arial"/>
          <w:lang w:eastAsia="en-US"/>
        </w:rPr>
        <w:t>Bernasconi</w:t>
      </w:r>
      <w:proofErr w:type="spellEnd"/>
    </w:p>
    <w:p w:rsidR="0003403C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3403C">
        <w:rPr>
          <w:rFonts w:ascii="Arial" w:eastAsiaTheme="minorHAnsi" w:hAnsi="Arial" w:cs="Arial"/>
          <w:lang w:eastAsia="en-US"/>
        </w:rPr>
        <w:t>la partecipazione con proprio banchetto a iniziative promosse dal Comune</w:t>
      </w:r>
      <w:r w:rsidR="00F065CB" w:rsidRPr="0003403C">
        <w:rPr>
          <w:rFonts w:ascii="Arial" w:eastAsiaTheme="minorHAnsi" w:hAnsi="Arial" w:cs="Arial"/>
          <w:lang w:eastAsia="en-US"/>
        </w:rPr>
        <w:t xml:space="preserve"> di Cernobbio e partecipazione alla iniziativa WWF</w:t>
      </w:r>
      <w:r w:rsidR="0003403C" w:rsidRPr="0003403C">
        <w:rPr>
          <w:rFonts w:ascii="Arial" w:eastAsiaTheme="minorHAnsi" w:hAnsi="Arial" w:cs="Arial"/>
          <w:lang w:eastAsia="en-US"/>
        </w:rPr>
        <w:t xml:space="preserve"> a</w:t>
      </w:r>
      <w:r w:rsidR="0003403C">
        <w:rPr>
          <w:rFonts w:ascii="Arial" w:eastAsiaTheme="minorHAnsi" w:hAnsi="Arial" w:cs="Arial"/>
          <w:lang w:eastAsia="en-US"/>
        </w:rPr>
        <w:t xml:space="preserve"> </w:t>
      </w:r>
      <w:r w:rsidR="0003403C" w:rsidRPr="0003403C">
        <w:rPr>
          <w:rFonts w:ascii="Arial" w:eastAsiaTheme="minorHAnsi" w:hAnsi="Arial" w:cs="Arial"/>
          <w:lang w:eastAsia="en-US"/>
        </w:rPr>
        <w:t>Cernobbio e Moltrasio in ottobre</w:t>
      </w:r>
    </w:p>
    <w:p w:rsidR="00FE0D80" w:rsidRPr="0003403C" w:rsidRDefault="00FE0D80" w:rsidP="00FE0D80">
      <w:pPr>
        <w:numPr>
          <w:ilvl w:val="0"/>
          <w:numId w:val="2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3403C">
        <w:rPr>
          <w:rFonts w:ascii="Arial" w:eastAsiaTheme="minorHAnsi" w:hAnsi="Arial" w:cs="Arial"/>
          <w:lang w:eastAsia="en-US"/>
        </w:rPr>
        <w:t xml:space="preserve">attività varie di supporto a persone bisognose, in collaborazione con </w:t>
      </w:r>
      <w:r w:rsidR="00F065CB" w:rsidRPr="0003403C">
        <w:rPr>
          <w:rFonts w:ascii="Arial" w:eastAsiaTheme="minorHAnsi" w:hAnsi="Arial" w:cs="Arial"/>
          <w:lang w:eastAsia="en-US"/>
        </w:rPr>
        <w:t xml:space="preserve">i servizi </w:t>
      </w:r>
      <w:r w:rsidRPr="0003403C">
        <w:rPr>
          <w:rFonts w:ascii="Arial" w:eastAsiaTheme="minorHAnsi" w:hAnsi="Arial" w:cs="Arial"/>
          <w:lang w:eastAsia="en-US"/>
        </w:rPr>
        <w:t xml:space="preserve">sociali </w:t>
      </w:r>
      <w:r w:rsidR="00F065CB" w:rsidRPr="0003403C">
        <w:rPr>
          <w:rFonts w:ascii="Arial" w:eastAsiaTheme="minorHAnsi" w:hAnsi="Arial" w:cs="Arial"/>
          <w:lang w:eastAsia="en-US"/>
        </w:rPr>
        <w:t>di Cernobbio, Moltrasio e Como.</w:t>
      </w:r>
    </w:p>
    <w:p w:rsidR="005566DF" w:rsidRDefault="005566DF" w:rsidP="00FE0D80">
      <w:pPr>
        <w:spacing w:after="6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E0D80">
        <w:rPr>
          <w:rFonts w:ascii="Arial" w:eastAsiaTheme="minorHAnsi" w:hAnsi="Arial" w:cs="Arial"/>
          <w:b/>
          <w:sz w:val="24"/>
          <w:szCs w:val="24"/>
          <w:lang w:eastAsia="en-US"/>
        </w:rPr>
        <w:t>Tesseramento</w:t>
      </w:r>
    </w:p>
    <w:p w:rsidR="000155D3" w:rsidRPr="00FE0D80" w:rsidRDefault="00FE0D80" w:rsidP="000155D3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Gli iscritti nel 202</w:t>
      </w:r>
      <w:r w:rsidR="002709DA">
        <w:rPr>
          <w:rFonts w:ascii="Arial" w:eastAsiaTheme="minorHAnsi" w:hAnsi="Arial" w:cs="Arial"/>
          <w:lang w:eastAsia="en-US"/>
        </w:rPr>
        <w:t>2</w:t>
      </w:r>
      <w:r w:rsidRPr="00FE0D80">
        <w:rPr>
          <w:rFonts w:ascii="Arial" w:eastAsiaTheme="minorHAnsi" w:hAnsi="Arial" w:cs="Arial"/>
          <w:lang w:eastAsia="en-US"/>
        </w:rPr>
        <w:t xml:space="preserve"> ammontano a </w:t>
      </w:r>
      <w:r w:rsidR="002709DA">
        <w:rPr>
          <w:rFonts w:ascii="Arial" w:eastAsiaTheme="minorHAnsi" w:hAnsi="Arial" w:cs="Arial"/>
          <w:lang w:eastAsia="en-US"/>
        </w:rPr>
        <w:t>281</w:t>
      </w:r>
      <w:r w:rsidRPr="00FE0D80">
        <w:rPr>
          <w:rFonts w:ascii="Arial" w:eastAsiaTheme="minorHAnsi" w:hAnsi="Arial" w:cs="Arial"/>
          <w:lang w:eastAsia="en-US"/>
        </w:rPr>
        <w:t xml:space="preserve">, con un incremento di </w:t>
      </w:r>
      <w:r w:rsidR="002709DA">
        <w:rPr>
          <w:rFonts w:ascii="Arial" w:eastAsiaTheme="minorHAnsi" w:hAnsi="Arial" w:cs="Arial"/>
          <w:lang w:eastAsia="en-US"/>
        </w:rPr>
        <w:t>148</w:t>
      </w:r>
      <w:r w:rsidRPr="00FE0D80">
        <w:rPr>
          <w:rFonts w:ascii="Arial" w:eastAsiaTheme="minorHAnsi" w:hAnsi="Arial" w:cs="Arial"/>
          <w:lang w:eastAsia="en-US"/>
        </w:rPr>
        <w:t xml:space="preserve"> unità rispetto al 202</w:t>
      </w:r>
      <w:r w:rsidR="002709DA">
        <w:rPr>
          <w:rFonts w:ascii="Arial" w:eastAsiaTheme="minorHAnsi" w:hAnsi="Arial" w:cs="Arial"/>
          <w:lang w:eastAsia="en-US"/>
        </w:rPr>
        <w:t>1</w:t>
      </w:r>
      <w:r w:rsidRPr="00FE0D80">
        <w:rPr>
          <w:rFonts w:ascii="Arial" w:eastAsiaTheme="minorHAnsi" w:hAnsi="Arial" w:cs="Arial"/>
          <w:lang w:eastAsia="en-US"/>
        </w:rPr>
        <w:t xml:space="preserve"> (</w:t>
      </w:r>
      <w:r w:rsidR="002709DA">
        <w:rPr>
          <w:rFonts w:ascii="Arial" w:eastAsiaTheme="minorHAnsi" w:hAnsi="Arial" w:cs="Arial"/>
          <w:lang w:eastAsia="en-US"/>
        </w:rPr>
        <w:t>133</w:t>
      </w:r>
      <w:r w:rsidRPr="00FE0D80">
        <w:rPr>
          <w:rFonts w:ascii="Arial" w:eastAsiaTheme="minorHAnsi" w:hAnsi="Arial" w:cs="Arial"/>
          <w:lang w:eastAsia="en-US"/>
        </w:rPr>
        <w:t>) pari al 1</w:t>
      </w:r>
      <w:r w:rsidR="002E10FA">
        <w:rPr>
          <w:rFonts w:ascii="Arial" w:eastAsiaTheme="minorHAnsi" w:hAnsi="Arial" w:cs="Arial"/>
          <w:lang w:eastAsia="en-US"/>
        </w:rPr>
        <w:t>11</w:t>
      </w:r>
      <w:r w:rsidRPr="00FE0D80">
        <w:rPr>
          <w:rFonts w:ascii="Arial" w:eastAsiaTheme="minorHAnsi" w:hAnsi="Arial" w:cs="Arial"/>
          <w:lang w:eastAsia="en-US"/>
        </w:rPr>
        <w:t xml:space="preserve">%,. </w:t>
      </w:r>
      <w:r w:rsidR="000155D3" w:rsidRPr="000155D3">
        <w:rPr>
          <w:rFonts w:ascii="Arial" w:eastAsiaTheme="minorHAnsi" w:hAnsi="Arial" w:cs="Arial"/>
          <w:lang w:eastAsia="en-US"/>
        </w:rPr>
        <w:t xml:space="preserve">Questo testimonia la vitalità dell’Associazione, in grado di aggregare un consistente gruppo di nuovi aderenti, </w:t>
      </w:r>
    </w:p>
    <w:p w:rsidR="000155D3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>L’incremento di iscritti aumenta il nostro peso sia nel contesto Auser che nei confronti delle amministrazioni comunali del territorio</w:t>
      </w:r>
      <w:r w:rsidR="000155D3">
        <w:rPr>
          <w:rFonts w:ascii="Arial" w:eastAsiaTheme="minorHAnsi" w:hAnsi="Arial" w:cs="Arial"/>
          <w:lang w:eastAsia="en-US"/>
        </w:rPr>
        <w:t>.</w:t>
      </w:r>
    </w:p>
    <w:p w:rsidR="004B74AB" w:rsidRDefault="001F0002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Il profilo di età</w:t>
      </w:r>
      <w:r w:rsidR="006B77D7">
        <w:rPr>
          <w:rFonts w:ascii="Arial" w:eastAsiaTheme="minorHAnsi" w:hAnsi="Arial" w:cs="Arial"/>
          <w:lang w:eastAsia="en-US"/>
        </w:rPr>
        <w:t>, anche a fronte di un forte incremento dei tesserati</w:t>
      </w:r>
      <w:r>
        <w:rPr>
          <w:rFonts w:ascii="Arial" w:eastAsiaTheme="minorHAnsi" w:hAnsi="Arial" w:cs="Arial"/>
          <w:lang w:eastAsia="en-US"/>
        </w:rPr>
        <w:t>,</w:t>
      </w:r>
      <w:r w:rsidR="006B77D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è del tutto analogo a quello del 2022 e risulta abbastanza elevato: </w:t>
      </w:r>
      <w:r w:rsidR="006B77D7" w:rsidRPr="006B77D7">
        <w:rPr>
          <w:rFonts w:ascii="Arial" w:eastAsiaTheme="minorHAnsi" w:hAnsi="Arial" w:cs="Arial"/>
          <w:lang w:eastAsia="en-US"/>
        </w:rPr>
        <w:t>228</w:t>
      </w:r>
      <w:r w:rsidR="00FE0D80" w:rsidRPr="006B77D7">
        <w:rPr>
          <w:rFonts w:ascii="Arial" w:eastAsiaTheme="minorHAnsi" w:hAnsi="Arial" w:cs="Arial"/>
          <w:lang w:eastAsia="en-US"/>
        </w:rPr>
        <w:t xml:space="preserve"> (pari all’8</w:t>
      </w:r>
      <w:r w:rsidR="006B77D7" w:rsidRPr="006B77D7">
        <w:rPr>
          <w:rFonts w:ascii="Arial" w:eastAsiaTheme="minorHAnsi" w:hAnsi="Arial" w:cs="Arial"/>
          <w:lang w:eastAsia="en-US"/>
        </w:rPr>
        <w:t>1</w:t>
      </w:r>
      <w:r w:rsidR="00FE0D80" w:rsidRPr="006B77D7">
        <w:rPr>
          <w:rFonts w:ascii="Arial" w:eastAsiaTheme="minorHAnsi" w:hAnsi="Arial" w:cs="Arial"/>
          <w:lang w:eastAsia="en-US"/>
        </w:rPr>
        <w:t xml:space="preserve">%) hanno 65 anni o più, </w:t>
      </w:r>
      <w:r w:rsidR="006B77D7" w:rsidRPr="006B77D7">
        <w:rPr>
          <w:rFonts w:ascii="Arial" w:eastAsiaTheme="minorHAnsi" w:hAnsi="Arial" w:cs="Arial"/>
          <w:lang w:eastAsia="en-US"/>
        </w:rPr>
        <w:t>150</w:t>
      </w:r>
      <w:r w:rsidR="00FE0D80" w:rsidRPr="006B77D7">
        <w:rPr>
          <w:rFonts w:ascii="Arial" w:eastAsiaTheme="minorHAnsi" w:hAnsi="Arial" w:cs="Arial"/>
          <w:lang w:eastAsia="en-US"/>
        </w:rPr>
        <w:t xml:space="preserve"> (Il 5</w:t>
      </w:r>
      <w:r w:rsidR="006B77D7" w:rsidRPr="006B77D7">
        <w:rPr>
          <w:rFonts w:ascii="Arial" w:eastAsiaTheme="minorHAnsi" w:hAnsi="Arial" w:cs="Arial"/>
          <w:lang w:eastAsia="en-US"/>
        </w:rPr>
        <w:t>4</w:t>
      </w:r>
      <w:r w:rsidR="00FE0D80" w:rsidRPr="006B77D7">
        <w:rPr>
          <w:rFonts w:ascii="Arial" w:eastAsiaTheme="minorHAnsi" w:hAnsi="Arial" w:cs="Arial"/>
          <w:lang w:eastAsia="en-US"/>
        </w:rPr>
        <w:t>%) h</w:t>
      </w:r>
      <w:r>
        <w:rPr>
          <w:rFonts w:ascii="Arial" w:eastAsiaTheme="minorHAnsi" w:hAnsi="Arial" w:cs="Arial"/>
          <w:lang w:eastAsia="en-US"/>
        </w:rPr>
        <w:t>anno</w:t>
      </w:r>
      <w:r w:rsidR="00FE0D80" w:rsidRPr="006B77D7">
        <w:rPr>
          <w:rFonts w:ascii="Arial" w:eastAsiaTheme="minorHAnsi" w:hAnsi="Arial" w:cs="Arial"/>
          <w:lang w:eastAsia="en-US"/>
        </w:rPr>
        <w:t xml:space="preserve"> 75 anni o più, </w:t>
      </w:r>
      <w:r w:rsidR="006B77D7" w:rsidRPr="006B77D7">
        <w:rPr>
          <w:rFonts w:ascii="Arial" w:eastAsiaTheme="minorHAnsi" w:hAnsi="Arial" w:cs="Arial"/>
          <w:lang w:eastAsia="en-US"/>
        </w:rPr>
        <w:t>40</w:t>
      </w:r>
      <w:r w:rsidR="00FE0D80" w:rsidRPr="006B77D7">
        <w:rPr>
          <w:rFonts w:ascii="Arial" w:eastAsiaTheme="minorHAnsi" w:hAnsi="Arial" w:cs="Arial"/>
          <w:lang w:eastAsia="en-US"/>
        </w:rPr>
        <w:t xml:space="preserve"> (1</w:t>
      </w:r>
      <w:r w:rsidR="006B77D7" w:rsidRPr="006B77D7">
        <w:rPr>
          <w:rFonts w:ascii="Arial" w:eastAsiaTheme="minorHAnsi" w:hAnsi="Arial" w:cs="Arial"/>
          <w:lang w:eastAsia="en-US"/>
        </w:rPr>
        <w:t>4</w:t>
      </w:r>
      <w:r w:rsidR="00FE0D80" w:rsidRPr="006B77D7">
        <w:rPr>
          <w:rFonts w:ascii="Arial" w:eastAsiaTheme="minorHAnsi" w:hAnsi="Arial" w:cs="Arial"/>
          <w:lang w:eastAsia="en-US"/>
        </w:rPr>
        <w:t xml:space="preserve">%) 85 o più, </w:t>
      </w:r>
      <w:r w:rsidR="006B77D7" w:rsidRPr="006B77D7">
        <w:rPr>
          <w:rFonts w:ascii="Arial" w:eastAsiaTheme="minorHAnsi" w:hAnsi="Arial" w:cs="Arial"/>
          <w:lang w:eastAsia="en-US"/>
        </w:rPr>
        <w:t>i più anziani</w:t>
      </w:r>
      <w:r w:rsidR="006B77D7">
        <w:rPr>
          <w:rFonts w:ascii="Arial" w:eastAsiaTheme="minorHAnsi" w:hAnsi="Arial" w:cs="Arial"/>
          <w:lang w:eastAsia="en-US"/>
        </w:rPr>
        <w:t xml:space="preserve"> hanno</w:t>
      </w:r>
      <w:r w:rsidR="00626C22" w:rsidRPr="00626C22">
        <w:rPr>
          <w:rFonts w:ascii="Arial" w:eastAsiaTheme="minorHAnsi" w:hAnsi="Arial" w:cs="Arial"/>
          <w:lang w:eastAsia="en-US"/>
        </w:rPr>
        <w:t xml:space="preserve"> 95</w:t>
      </w:r>
      <w:r w:rsidR="00FE0D80" w:rsidRPr="00FE0D80">
        <w:rPr>
          <w:rFonts w:ascii="Arial" w:eastAsiaTheme="minorHAnsi" w:hAnsi="Arial" w:cs="Arial"/>
          <w:lang w:eastAsia="en-US"/>
        </w:rPr>
        <w:t xml:space="preserve"> anni.  </w:t>
      </w:r>
      <w:r w:rsidR="00872E68">
        <w:rPr>
          <w:rFonts w:ascii="Arial" w:eastAsiaTheme="minorHAnsi" w:hAnsi="Arial" w:cs="Arial"/>
          <w:lang w:eastAsia="en-US"/>
        </w:rPr>
        <w:t>Il val</w:t>
      </w:r>
      <w:bookmarkStart w:id="0" w:name="_GoBack"/>
      <w:bookmarkEnd w:id="0"/>
      <w:r w:rsidR="00872E68">
        <w:rPr>
          <w:rFonts w:ascii="Arial" w:eastAsiaTheme="minorHAnsi" w:hAnsi="Arial" w:cs="Arial"/>
          <w:lang w:eastAsia="en-US"/>
        </w:rPr>
        <w:t>ore mediano è di 76 anni.</w:t>
      </w:r>
    </w:p>
    <w:p w:rsid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Si </w:t>
      </w:r>
      <w:r w:rsidR="001F0002">
        <w:rPr>
          <w:rFonts w:ascii="Arial" w:eastAsiaTheme="minorHAnsi" w:hAnsi="Arial" w:cs="Arial"/>
          <w:lang w:eastAsia="en-US"/>
        </w:rPr>
        <w:t xml:space="preserve">conferma </w:t>
      </w:r>
      <w:r w:rsidRPr="00FE0D80">
        <w:rPr>
          <w:rFonts w:ascii="Arial" w:eastAsiaTheme="minorHAnsi" w:hAnsi="Arial" w:cs="Arial"/>
          <w:lang w:eastAsia="en-US"/>
        </w:rPr>
        <w:t xml:space="preserve">una netta prevalenza femminile, </w:t>
      </w:r>
      <w:r w:rsidR="001F0002">
        <w:rPr>
          <w:rFonts w:ascii="Arial" w:eastAsiaTheme="minorHAnsi" w:hAnsi="Arial" w:cs="Arial"/>
          <w:lang w:eastAsia="en-US"/>
        </w:rPr>
        <w:t>an</w:t>
      </w:r>
      <w:r w:rsidRPr="00FE0D80">
        <w:rPr>
          <w:rFonts w:ascii="Arial" w:eastAsiaTheme="minorHAnsi" w:hAnsi="Arial" w:cs="Arial"/>
          <w:lang w:eastAsia="en-US"/>
        </w:rPr>
        <w:t>c</w:t>
      </w:r>
      <w:r w:rsidR="001F0002">
        <w:rPr>
          <w:rFonts w:ascii="Arial" w:eastAsiaTheme="minorHAnsi" w:hAnsi="Arial" w:cs="Arial"/>
          <w:lang w:eastAsia="en-US"/>
        </w:rPr>
        <w:t xml:space="preserve">he se in lieve diminuzione: </w:t>
      </w:r>
      <w:r w:rsidR="004B74AB" w:rsidRPr="004B74AB">
        <w:rPr>
          <w:rFonts w:ascii="Arial" w:eastAsiaTheme="minorHAnsi" w:hAnsi="Arial" w:cs="Arial"/>
          <w:lang w:eastAsia="en-US"/>
        </w:rPr>
        <w:t>19</w:t>
      </w:r>
      <w:r w:rsidR="001F0002">
        <w:rPr>
          <w:rFonts w:ascii="Arial" w:eastAsiaTheme="minorHAnsi" w:hAnsi="Arial" w:cs="Arial"/>
          <w:lang w:eastAsia="en-US"/>
        </w:rPr>
        <w:t>0</w:t>
      </w:r>
      <w:r w:rsidRPr="00FE0D80">
        <w:rPr>
          <w:rFonts w:ascii="Arial" w:eastAsiaTheme="minorHAnsi" w:hAnsi="Arial" w:cs="Arial"/>
          <w:lang w:eastAsia="en-US"/>
        </w:rPr>
        <w:t xml:space="preserve"> donne (6</w:t>
      </w:r>
      <w:r w:rsidR="001F0002">
        <w:rPr>
          <w:rFonts w:ascii="Arial" w:eastAsiaTheme="minorHAnsi" w:hAnsi="Arial" w:cs="Arial"/>
          <w:lang w:eastAsia="en-US"/>
        </w:rPr>
        <w:t>7</w:t>
      </w:r>
      <w:r w:rsidRPr="00FE0D80">
        <w:rPr>
          <w:rFonts w:ascii="Arial" w:eastAsiaTheme="minorHAnsi" w:hAnsi="Arial" w:cs="Arial"/>
          <w:lang w:eastAsia="en-US"/>
        </w:rPr>
        <w:t xml:space="preserve">%) e </w:t>
      </w:r>
      <w:r w:rsidR="001F0002">
        <w:rPr>
          <w:rFonts w:ascii="Arial" w:eastAsiaTheme="minorHAnsi" w:hAnsi="Arial" w:cs="Arial"/>
          <w:lang w:eastAsia="en-US"/>
        </w:rPr>
        <w:t>91</w:t>
      </w:r>
      <w:r w:rsidR="000155D3">
        <w:rPr>
          <w:rFonts w:ascii="Arial" w:eastAsiaTheme="minorHAnsi" w:hAnsi="Arial" w:cs="Arial"/>
          <w:lang w:eastAsia="en-US"/>
        </w:rPr>
        <w:t xml:space="preserve"> uomini (3</w:t>
      </w:r>
      <w:r w:rsidR="001F0002">
        <w:rPr>
          <w:rFonts w:ascii="Arial" w:eastAsiaTheme="minorHAnsi" w:hAnsi="Arial" w:cs="Arial"/>
          <w:lang w:eastAsia="en-US"/>
        </w:rPr>
        <w:t>3</w:t>
      </w:r>
      <w:r w:rsidR="000155D3">
        <w:rPr>
          <w:rFonts w:ascii="Arial" w:eastAsiaTheme="minorHAnsi" w:hAnsi="Arial" w:cs="Arial"/>
          <w:lang w:eastAsia="en-US"/>
        </w:rPr>
        <w:t>%).</w:t>
      </w:r>
    </w:p>
    <w:p w:rsidR="008612C0" w:rsidRDefault="008612C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930884" w:rsidRDefault="00930884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La tabella seguente evidenzia la distribuzione territoriale degli iscritti</w:t>
      </w:r>
    </w:p>
    <w:p w:rsidR="00626C22" w:rsidRDefault="00626C22" w:rsidP="00626C22">
      <w:pPr>
        <w:spacing w:after="60"/>
        <w:jc w:val="both"/>
        <w:rPr>
          <w:rFonts w:ascii="Arial" w:eastAsiaTheme="minorHAnsi" w:hAnsi="Arial" w:cs="Arial"/>
          <w:highlight w:val="yellow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1418"/>
      </w:tblGrid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Cernobbio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</w:tcPr>
          <w:p w:rsidR="000C2A3A" w:rsidRPr="008612C0" w:rsidRDefault="000C2A3A" w:rsidP="000C2A3A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44%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Como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18%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Maslianico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5%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Moltrasio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43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15%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Carate Urio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32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11%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Laglio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0C2A3A" w:rsidRPr="008612C0" w:rsidRDefault="000C2A3A" w:rsidP="00A73CC7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2%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Altre località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5%</w:t>
            </w:r>
          </w:p>
        </w:tc>
      </w:tr>
      <w:tr w:rsidR="000C2A3A" w:rsidRPr="002657AE" w:rsidTr="00A73CC7">
        <w:trPr>
          <w:jc w:val="center"/>
        </w:trPr>
        <w:tc>
          <w:tcPr>
            <w:tcW w:w="1951" w:type="dxa"/>
          </w:tcPr>
          <w:p w:rsidR="000C2A3A" w:rsidRPr="008612C0" w:rsidRDefault="000C2A3A" w:rsidP="00FE0D8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2A3A" w:rsidRPr="008612C0" w:rsidRDefault="000C2A3A" w:rsidP="00B65561">
            <w:pPr>
              <w:spacing w:after="60"/>
              <w:jc w:val="right"/>
              <w:rPr>
                <w:rFonts w:ascii="Arial" w:hAnsi="Arial" w:cs="Arial"/>
                <w:highlight w:val="yellow"/>
              </w:rPr>
            </w:pPr>
            <w:r w:rsidRPr="008612C0">
              <w:rPr>
                <w:rFonts w:ascii="Arial" w:hAnsi="Arial" w:cs="Arial"/>
              </w:rPr>
              <w:t>281</w:t>
            </w:r>
          </w:p>
        </w:tc>
        <w:tc>
          <w:tcPr>
            <w:tcW w:w="1418" w:type="dxa"/>
          </w:tcPr>
          <w:p w:rsidR="000C2A3A" w:rsidRPr="008612C0" w:rsidRDefault="00F065CB" w:rsidP="00B65561">
            <w:pPr>
              <w:spacing w:after="60"/>
              <w:jc w:val="right"/>
              <w:rPr>
                <w:rFonts w:ascii="Arial" w:hAnsi="Arial" w:cs="Arial"/>
              </w:rPr>
            </w:pPr>
            <w:r w:rsidRPr="008612C0">
              <w:rPr>
                <w:rFonts w:ascii="Arial" w:hAnsi="Arial" w:cs="Arial"/>
              </w:rPr>
              <w:t>100%</w:t>
            </w:r>
          </w:p>
        </w:tc>
      </w:tr>
    </w:tbl>
    <w:p w:rsidR="00B65561" w:rsidRDefault="00B65561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930884" w:rsidRDefault="00930884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La presenza territoriale</w:t>
      </w:r>
      <w:r w:rsidR="00234E7E">
        <w:rPr>
          <w:rFonts w:ascii="Arial" w:eastAsiaTheme="minorHAnsi" w:hAnsi="Arial" w:cs="Arial"/>
          <w:lang w:eastAsia="en-US"/>
        </w:rPr>
        <w:t>, dal punto di vista logistico e di omogeneità geografica,</w:t>
      </w:r>
      <w:r>
        <w:rPr>
          <w:rFonts w:ascii="Arial" w:eastAsiaTheme="minorHAnsi" w:hAnsi="Arial" w:cs="Arial"/>
          <w:lang w:eastAsia="en-US"/>
        </w:rPr>
        <w:t xml:space="preserve"> si può considerare costituita da 3 poli:</w:t>
      </w:r>
    </w:p>
    <w:p w:rsidR="00FE0D80" w:rsidRPr="00930884" w:rsidRDefault="00FE0D80" w:rsidP="00FE0D80">
      <w:pPr>
        <w:numPr>
          <w:ilvl w:val="0"/>
          <w:numId w:val="3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30884">
        <w:rPr>
          <w:rFonts w:ascii="Arial" w:eastAsiaTheme="minorHAnsi" w:hAnsi="Arial" w:cs="Arial"/>
          <w:lang w:eastAsia="en-US"/>
        </w:rPr>
        <w:t xml:space="preserve">Cernobbio, con </w:t>
      </w:r>
      <w:r w:rsidR="00626C22" w:rsidRPr="00930884">
        <w:rPr>
          <w:rFonts w:ascii="Arial" w:eastAsiaTheme="minorHAnsi" w:hAnsi="Arial" w:cs="Arial"/>
          <w:lang w:eastAsia="en-US"/>
        </w:rPr>
        <w:t xml:space="preserve">122 </w:t>
      </w:r>
      <w:r w:rsidRPr="00930884">
        <w:rPr>
          <w:rFonts w:ascii="Arial" w:eastAsiaTheme="minorHAnsi" w:hAnsi="Arial" w:cs="Arial"/>
          <w:lang w:eastAsia="en-US"/>
        </w:rPr>
        <w:t xml:space="preserve">iscritti </w:t>
      </w:r>
      <w:r w:rsidR="00626C22" w:rsidRPr="00930884">
        <w:rPr>
          <w:rFonts w:ascii="Arial" w:eastAsiaTheme="minorHAnsi" w:hAnsi="Arial" w:cs="Arial"/>
          <w:lang w:eastAsia="en-US"/>
        </w:rPr>
        <w:t xml:space="preserve"> con incidenza in diminuzione </w:t>
      </w:r>
      <w:r w:rsidRPr="00930884">
        <w:rPr>
          <w:rFonts w:ascii="Arial" w:eastAsiaTheme="minorHAnsi" w:hAnsi="Arial" w:cs="Arial"/>
          <w:lang w:eastAsia="en-US"/>
        </w:rPr>
        <w:t>(</w:t>
      </w:r>
      <w:r w:rsidR="00626C22" w:rsidRPr="00930884">
        <w:rPr>
          <w:rFonts w:ascii="Arial" w:eastAsiaTheme="minorHAnsi" w:hAnsi="Arial" w:cs="Arial"/>
          <w:lang w:eastAsia="en-US"/>
        </w:rPr>
        <w:t>44% del totale</w:t>
      </w:r>
      <w:r w:rsidR="00234E7E">
        <w:rPr>
          <w:rFonts w:ascii="Arial" w:eastAsiaTheme="minorHAnsi" w:hAnsi="Arial" w:cs="Arial"/>
          <w:lang w:eastAsia="en-US"/>
        </w:rPr>
        <w:t>,</w:t>
      </w:r>
      <w:r w:rsidR="00626C22" w:rsidRPr="00930884">
        <w:rPr>
          <w:rFonts w:ascii="Arial" w:eastAsiaTheme="minorHAnsi" w:hAnsi="Arial" w:cs="Arial"/>
          <w:lang w:eastAsia="en-US"/>
        </w:rPr>
        <w:t xml:space="preserve"> contro il 57% del 2021)</w:t>
      </w:r>
    </w:p>
    <w:p w:rsidR="00626C22" w:rsidRPr="00930884" w:rsidRDefault="00FE0D80" w:rsidP="00FE0D80">
      <w:pPr>
        <w:numPr>
          <w:ilvl w:val="0"/>
          <w:numId w:val="3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30884">
        <w:rPr>
          <w:rFonts w:ascii="Arial" w:eastAsiaTheme="minorHAnsi" w:hAnsi="Arial" w:cs="Arial"/>
          <w:lang w:eastAsia="en-US"/>
        </w:rPr>
        <w:t xml:space="preserve">area Sud (Como-Maslianico) </w:t>
      </w:r>
      <w:r w:rsidR="00930884" w:rsidRPr="00930884">
        <w:rPr>
          <w:rFonts w:ascii="Arial" w:eastAsiaTheme="minorHAnsi" w:hAnsi="Arial" w:cs="Arial"/>
          <w:lang w:eastAsia="en-US"/>
        </w:rPr>
        <w:t xml:space="preserve">in aumento, </w:t>
      </w:r>
      <w:r w:rsidRPr="00930884">
        <w:rPr>
          <w:rFonts w:ascii="Arial" w:eastAsiaTheme="minorHAnsi" w:hAnsi="Arial" w:cs="Arial"/>
          <w:lang w:eastAsia="en-US"/>
        </w:rPr>
        <w:t xml:space="preserve">con </w:t>
      </w:r>
      <w:r w:rsidR="00626C22" w:rsidRPr="00930884">
        <w:rPr>
          <w:rFonts w:ascii="Arial" w:eastAsiaTheme="minorHAnsi" w:hAnsi="Arial" w:cs="Arial"/>
          <w:lang w:eastAsia="en-US"/>
        </w:rPr>
        <w:t xml:space="preserve">64 iscritti (23 </w:t>
      </w:r>
      <w:r w:rsidRPr="00930884">
        <w:rPr>
          <w:rFonts w:ascii="Arial" w:eastAsiaTheme="minorHAnsi" w:hAnsi="Arial" w:cs="Arial"/>
          <w:lang w:eastAsia="en-US"/>
        </w:rPr>
        <w:t>% del totale</w:t>
      </w:r>
      <w:r w:rsidR="00626C22" w:rsidRPr="00930884">
        <w:rPr>
          <w:rFonts w:ascii="Arial" w:eastAsiaTheme="minorHAnsi" w:hAnsi="Arial" w:cs="Arial"/>
          <w:lang w:eastAsia="en-US"/>
        </w:rPr>
        <w:t>, contro 18% del 2021) con crescita soprattutto a Como</w:t>
      </w:r>
    </w:p>
    <w:p w:rsidR="00FE0D80" w:rsidRPr="00930884" w:rsidRDefault="00626C22" w:rsidP="00FE0D80">
      <w:pPr>
        <w:numPr>
          <w:ilvl w:val="0"/>
          <w:numId w:val="3"/>
        </w:numPr>
        <w:spacing w:after="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30884">
        <w:rPr>
          <w:rFonts w:ascii="Arial" w:eastAsiaTheme="minorHAnsi" w:hAnsi="Arial" w:cs="Arial"/>
          <w:lang w:eastAsia="en-US"/>
        </w:rPr>
        <w:t>area nord (</w:t>
      </w:r>
      <w:r w:rsidR="00FE0D80" w:rsidRPr="00930884">
        <w:rPr>
          <w:rFonts w:ascii="Arial" w:eastAsiaTheme="minorHAnsi" w:hAnsi="Arial" w:cs="Arial"/>
          <w:lang w:eastAsia="en-US"/>
        </w:rPr>
        <w:t>Moltrasio</w:t>
      </w:r>
      <w:r w:rsidRPr="00930884">
        <w:rPr>
          <w:rFonts w:ascii="Arial" w:eastAsiaTheme="minorHAnsi" w:hAnsi="Arial" w:cs="Arial"/>
          <w:lang w:eastAsia="en-US"/>
        </w:rPr>
        <w:t>, Carate Urio, Laglio)</w:t>
      </w:r>
      <w:r w:rsidR="00FE0D80" w:rsidRPr="00930884">
        <w:rPr>
          <w:rFonts w:ascii="Arial" w:eastAsiaTheme="minorHAnsi" w:hAnsi="Arial" w:cs="Arial"/>
          <w:lang w:eastAsia="en-US"/>
        </w:rPr>
        <w:t xml:space="preserve"> con </w:t>
      </w:r>
      <w:r w:rsidR="000155D3" w:rsidRPr="00930884">
        <w:rPr>
          <w:rFonts w:ascii="Arial" w:eastAsiaTheme="minorHAnsi" w:hAnsi="Arial" w:cs="Arial"/>
          <w:lang w:eastAsia="en-US"/>
        </w:rPr>
        <w:t>81</w:t>
      </w:r>
      <w:r w:rsidR="00FE0D80" w:rsidRPr="00930884">
        <w:rPr>
          <w:rFonts w:ascii="Arial" w:eastAsiaTheme="minorHAnsi" w:hAnsi="Arial" w:cs="Arial"/>
          <w:lang w:eastAsia="en-US"/>
        </w:rPr>
        <w:t xml:space="preserve"> iscritti  (</w:t>
      </w:r>
      <w:r w:rsidRPr="00930884">
        <w:rPr>
          <w:rFonts w:ascii="Arial" w:eastAsiaTheme="minorHAnsi" w:hAnsi="Arial" w:cs="Arial"/>
          <w:lang w:eastAsia="en-US"/>
        </w:rPr>
        <w:t xml:space="preserve">28 % del totale contro </w:t>
      </w:r>
      <w:r w:rsidR="00FE0D80" w:rsidRPr="00930884">
        <w:rPr>
          <w:rFonts w:ascii="Arial" w:eastAsiaTheme="minorHAnsi" w:hAnsi="Arial" w:cs="Arial"/>
          <w:lang w:eastAsia="en-US"/>
        </w:rPr>
        <w:t xml:space="preserve">17% del </w:t>
      </w:r>
      <w:r w:rsidRPr="00930884">
        <w:rPr>
          <w:rFonts w:ascii="Arial" w:eastAsiaTheme="minorHAnsi" w:hAnsi="Arial" w:cs="Arial"/>
          <w:lang w:eastAsia="en-US"/>
        </w:rPr>
        <w:t>2021</w:t>
      </w:r>
      <w:r w:rsidR="00FE0D80" w:rsidRPr="00930884">
        <w:rPr>
          <w:rFonts w:ascii="Arial" w:eastAsiaTheme="minorHAnsi" w:hAnsi="Arial" w:cs="Arial"/>
          <w:lang w:eastAsia="en-US"/>
        </w:rPr>
        <w:t>)</w:t>
      </w:r>
      <w:r w:rsidR="00835028" w:rsidRPr="00930884">
        <w:rPr>
          <w:rFonts w:ascii="Arial" w:eastAsiaTheme="minorHAnsi" w:hAnsi="Arial" w:cs="Arial"/>
          <w:lang w:eastAsia="en-US"/>
        </w:rPr>
        <w:t xml:space="preserve"> incremento riconducibile al </w:t>
      </w:r>
      <w:r w:rsidR="00930884" w:rsidRPr="00930884">
        <w:rPr>
          <w:rFonts w:ascii="Arial" w:eastAsiaTheme="minorHAnsi" w:hAnsi="Arial" w:cs="Arial"/>
          <w:lang w:eastAsia="en-US"/>
        </w:rPr>
        <w:t xml:space="preserve">forte </w:t>
      </w:r>
      <w:r w:rsidR="00835028" w:rsidRPr="00930884">
        <w:rPr>
          <w:rFonts w:ascii="Arial" w:eastAsiaTheme="minorHAnsi" w:hAnsi="Arial" w:cs="Arial"/>
          <w:lang w:eastAsia="en-US"/>
        </w:rPr>
        <w:t>radicamento a Carate Urio.</w:t>
      </w:r>
    </w:p>
    <w:p w:rsid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03403C" w:rsidRPr="00930884" w:rsidRDefault="0003403C" w:rsidP="0003403C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930884">
        <w:rPr>
          <w:rFonts w:ascii="Arial" w:eastAsiaTheme="minorHAnsi" w:hAnsi="Arial" w:cs="Arial"/>
          <w:lang w:eastAsia="en-US"/>
        </w:rPr>
        <w:t>Il numero complessivo di fruitori del servizio</w:t>
      </w:r>
      <w:r w:rsidR="00930884">
        <w:rPr>
          <w:rFonts w:ascii="Arial" w:eastAsiaTheme="minorHAnsi" w:hAnsi="Arial" w:cs="Arial"/>
          <w:lang w:eastAsia="en-US"/>
        </w:rPr>
        <w:t xml:space="preserve"> di </w:t>
      </w:r>
      <w:r w:rsidR="00872E68">
        <w:rPr>
          <w:rFonts w:ascii="Arial" w:eastAsiaTheme="minorHAnsi" w:hAnsi="Arial" w:cs="Arial"/>
          <w:lang w:eastAsia="en-US"/>
        </w:rPr>
        <w:t>accompagnamento</w:t>
      </w:r>
      <w:r w:rsidRPr="00930884">
        <w:rPr>
          <w:rFonts w:ascii="Arial" w:eastAsiaTheme="minorHAnsi" w:hAnsi="Arial" w:cs="Arial"/>
          <w:lang w:eastAsia="en-US"/>
        </w:rPr>
        <w:t xml:space="preserve"> è pari al 45% degli iscritti</w:t>
      </w:r>
      <w:r w:rsidR="00930884">
        <w:rPr>
          <w:rFonts w:ascii="Arial" w:eastAsiaTheme="minorHAnsi" w:hAnsi="Arial" w:cs="Arial"/>
          <w:lang w:eastAsia="en-US"/>
        </w:rPr>
        <w:t>, a riprova che la maggior parte degli iscritti aderisce ad Auser per altre ragioni, sia per partecipare ad altre iniziative che per fare volontariato o sostegno all’associazione.</w:t>
      </w:r>
    </w:p>
    <w:p w:rsidR="0003403C" w:rsidRDefault="0003403C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03403C" w:rsidRPr="00FE0D80" w:rsidRDefault="0003403C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</w:p>
    <w:p w:rsidR="00FE0D80" w:rsidRPr="00FE0D80" w:rsidRDefault="00FE0D80" w:rsidP="00FE0D80">
      <w:pPr>
        <w:spacing w:after="60"/>
        <w:jc w:val="both"/>
        <w:rPr>
          <w:rFonts w:ascii="Arial" w:eastAsiaTheme="minorHAnsi" w:hAnsi="Arial" w:cs="Arial"/>
          <w:lang w:eastAsia="en-US"/>
        </w:rPr>
      </w:pPr>
      <w:r w:rsidRPr="00FE0D80">
        <w:rPr>
          <w:rFonts w:ascii="Arial" w:eastAsiaTheme="minorHAnsi" w:hAnsi="Arial" w:cs="Arial"/>
          <w:lang w:eastAsia="en-US"/>
        </w:rPr>
        <w:t xml:space="preserve">Cernobbio, </w:t>
      </w:r>
      <w:r w:rsidR="00092467" w:rsidRPr="00930884">
        <w:rPr>
          <w:rFonts w:ascii="Arial" w:eastAsiaTheme="minorHAnsi" w:hAnsi="Arial" w:cs="Arial"/>
          <w:lang w:eastAsia="en-US"/>
        </w:rPr>
        <w:t>27</w:t>
      </w:r>
      <w:r w:rsidRPr="00930884">
        <w:rPr>
          <w:rFonts w:ascii="Arial" w:eastAsiaTheme="minorHAnsi" w:hAnsi="Arial" w:cs="Arial"/>
          <w:lang w:eastAsia="en-US"/>
        </w:rPr>
        <w:t xml:space="preserve"> marzo 202</w:t>
      </w:r>
      <w:r w:rsidR="00092467" w:rsidRPr="00930884">
        <w:rPr>
          <w:rFonts w:ascii="Arial" w:eastAsiaTheme="minorHAnsi" w:hAnsi="Arial" w:cs="Arial"/>
          <w:lang w:eastAsia="en-US"/>
        </w:rPr>
        <w:t>3</w:t>
      </w:r>
    </w:p>
    <w:p w:rsidR="00023A10" w:rsidRDefault="00023A10" w:rsidP="00FE0D80">
      <w:pPr>
        <w:spacing w:after="120"/>
        <w:jc w:val="both"/>
        <w:rPr>
          <w:rFonts w:ascii="Arial" w:eastAsia="Calibri" w:hAnsi="Arial" w:cs="Arial"/>
          <w:b/>
          <w:u w:val="single"/>
          <w:lang w:eastAsia="en-US"/>
        </w:rPr>
      </w:pPr>
    </w:p>
    <w:sectPr w:rsidR="00023A10" w:rsidSect="00FA279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53" w:rsidRDefault="00705453" w:rsidP="00E16BF8">
      <w:pPr>
        <w:spacing w:after="0" w:line="240" w:lineRule="auto"/>
      </w:pPr>
      <w:r>
        <w:separator/>
      </w:r>
    </w:p>
  </w:endnote>
  <w:endnote w:type="continuationSeparator" w:id="0">
    <w:p w:rsidR="00705453" w:rsidRDefault="00705453" w:rsidP="00E1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AE" w:rsidRDefault="002657AE" w:rsidP="00BA7284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rPr>
        <w:i/>
      </w:rPr>
    </w:pPr>
    <w:r w:rsidRPr="00BA7284">
      <w:rPr>
        <w:rFonts w:ascii="Arial" w:hAnsi="Arial" w:cs="Arial"/>
        <w:i/>
        <w:sz w:val="20"/>
        <w:szCs w:val="20"/>
      </w:rPr>
      <w:t xml:space="preserve">Auser Basso Lario </w:t>
    </w:r>
    <w:proofErr w:type="spellStart"/>
    <w:r w:rsidRPr="00BA7284">
      <w:rPr>
        <w:rFonts w:ascii="Arial" w:hAnsi="Arial" w:cs="Arial"/>
        <w:i/>
        <w:sz w:val="20"/>
        <w:szCs w:val="20"/>
      </w:rPr>
      <w:t>OdV</w:t>
    </w:r>
    <w:proofErr w:type="spellEnd"/>
    <w:r>
      <w:rPr>
        <w:rFonts w:ascii="Arial" w:hAnsi="Arial" w:cs="Arial"/>
        <w:i/>
        <w:sz w:val="20"/>
        <w:szCs w:val="20"/>
      </w:rPr>
      <w:t xml:space="preserve"> ETS</w:t>
    </w:r>
    <w:r w:rsidRPr="00BA7284">
      <w:rPr>
        <w:rFonts w:ascii="Arial" w:hAnsi="Arial" w:cs="Arial"/>
        <w:i/>
        <w:sz w:val="20"/>
        <w:szCs w:val="20"/>
      </w:rPr>
      <w:t xml:space="preserve">  </w:t>
    </w:r>
    <w:r w:rsidRPr="00BA7284">
      <w:rPr>
        <w:i/>
      </w:rPr>
      <w:t xml:space="preserve">   </w:t>
    </w:r>
    <w:r>
      <w:rPr>
        <w:i/>
      </w:rPr>
      <w:t xml:space="preserve">   </w:t>
    </w:r>
    <w:r w:rsidRPr="00BA7284">
      <w:rPr>
        <w:i/>
      </w:rPr>
      <w:t xml:space="preserve">C.F. 95127440139            </w:t>
    </w:r>
    <w:r>
      <w:rPr>
        <w:i/>
      </w:rPr>
      <w:t xml:space="preserve">sede legale via Regina 23 Cernobbio                                </w:t>
    </w:r>
    <w:r w:rsidRPr="00BA7284">
      <w:rPr>
        <w:i/>
      </w:rPr>
      <w:t xml:space="preserve">   </w:t>
    </w:r>
  </w:p>
  <w:p w:rsidR="002657AE" w:rsidRPr="00BA7284" w:rsidRDefault="002657AE" w:rsidP="00BA7284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rPr>
        <w:i/>
      </w:rPr>
    </w:pPr>
    <w:r>
      <w:rPr>
        <w:i/>
      </w:rPr>
      <w:t>Mail:</w:t>
    </w:r>
    <w:r w:rsidRPr="00BA7284">
      <w:rPr>
        <w:i/>
      </w:rPr>
      <w:t xml:space="preserve"> </w:t>
    </w:r>
    <w:hyperlink r:id="rId1" w:history="1">
      <w:r w:rsidRPr="00BA7284">
        <w:rPr>
          <w:rFonts w:ascii="Arial" w:hAnsi="Arial" w:cs="Arial"/>
          <w:i/>
          <w:sz w:val="20"/>
          <w:szCs w:val="20"/>
          <w:u w:val="single"/>
        </w:rPr>
        <w:t>auser.bassolario@gmail.com</w:t>
      </w:r>
    </w:hyperlink>
    <w:r w:rsidRPr="00BA7284">
      <w:rPr>
        <w:rFonts w:ascii="Arial" w:hAnsi="Arial" w:cs="Arial"/>
        <w:i/>
        <w:sz w:val="20"/>
        <w:szCs w:val="20"/>
      </w:rPr>
      <w:t xml:space="preserve">           </w:t>
    </w:r>
    <w:r>
      <w:rPr>
        <w:rFonts w:ascii="Arial" w:hAnsi="Arial" w:cs="Arial"/>
        <w:i/>
        <w:sz w:val="20"/>
        <w:szCs w:val="20"/>
      </w:rPr>
      <w:t xml:space="preserve">telefono: </w:t>
    </w:r>
    <w:r w:rsidRPr="00BA7284">
      <w:rPr>
        <w:rFonts w:ascii="Arial" w:hAnsi="Arial" w:cs="Arial"/>
        <w:i/>
        <w:sz w:val="20"/>
        <w:szCs w:val="20"/>
      </w:rPr>
      <w:t>371</w:t>
    </w:r>
    <w:r>
      <w:rPr>
        <w:rFonts w:ascii="Arial" w:hAnsi="Arial" w:cs="Arial"/>
        <w:i/>
        <w:sz w:val="20"/>
        <w:szCs w:val="20"/>
      </w:rPr>
      <w:t xml:space="preserve"> </w:t>
    </w:r>
    <w:r w:rsidRPr="00BA7284">
      <w:rPr>
        <w:rFonts w:ascii="Arial" w:hAnsi="Arial" w:cs="Arial"/>
        <w:i/>
        <w:sz w:val="20"/>
        <w:szCs w:val="20"/>
      </w:rPr>
      <w:t>4489596</w:t>
    </w:r>
    <w:r>
      <w:rPr>
        <w:rFonts w:ascii="Arial" w:hAnsi="Arial" w:cs="Arial"/>
        <w:i/>
        <w:sz w:val="20"/>
        <w:szCs w:val="20"/>
      </w:rPr>
      <w:t xml:space="preserve">        sito internet: www.auserbassolario.it</w:t>
    </w:r>
  </w:p>
  <w:p w:rsidR="002657AE" w:rsidRDefault="002657AE">
    <w:pPr>
      <w:pStyle w:val="Pidipagina"/>
    </w:pPr>
  </w:p>
  <w:p w:rsidR="002657AE" w:rsidRDefault="00265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53" w:rsidRDefault="00705453" w:rsidP="00E16BF8">
      <w:pPr>
        <w:spacing w:after="0" w:line="240" w:lineRule="auto"/>
      </w:pPr>
      <w:r>
        <w:separator/>
      </w:r>
    </w:p>
  </w:footnote>
  <w:footnote w:type="continuationSeparator" w:id="0">
    <w:p w:rsidR="00705453" w:rsidRDefault="00705453" w:rsidP="00E1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AE" w:rsidRDefault="002657AE">
    <w:pPr>
      <w:pStyle w:val="Intestazione"/>
    </w:pPr>
    <w:r w:rsidRPr="00005864">
      <w:rPr>
        <w:rFonts w:ascii="Calibri Light" w:eastAsia="MS Gothic" w:hAnsi="Calibri Light" w:cs="Times New Roman"/>
        <w:b/>
        <w:bCs/>
        <w:noProof/>
        <w:color w:val="2E74B5"/>
        <w:sz w:val="28"/>
        <w:szCs w:val="28"/>
      </w:rPr>
      <w:drawing>
        <wp:inline distT="0" distB="0" distL="0" distR="0" wp14:anchorId="5EC6045E" wp14:editId="6DA26ABB">
          <wp:extent cx="1737360" cy="868680"/>
          <wp:effectExtent l="0" t="0" r="0" b="7620"/>
          <wp:docPr id="1" name="Immagine 1" descr="C:\Users\Samsung\Downloads\AUSER Basso Lari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ownloads\AUSER Basso Lario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721" cy="86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7AE" w:rsidRDefault="002657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BC8"/>
    <w:multiLevelType w:val="hybridMultilevel"/>
    <w:tmpl w:val="67660D4C"/>
    <w:lvl w:ilvl="0" w:tplc="4F94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1492"/>
    <w:multiLevelType w:val="hybridMultilevel"/>
    <w:tmpl w:val="4F20E8AA"/>
    <w:lvl w:ilvl="0" w:tplc="234C65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9B6813"/>
    <w:multiLevelType w:val="hybridMultilevel"/>
    <w:tmpl w:val="D5966C94"/>
    <w:lvl w:ilvl="0" w:tplc="4F94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6"/>
    <w:rsid w:val="00005864"/>
    <w:rsid w:val="00005A6C"/>
    <w:rsid w:val="00005C4C"/>
    <w:rsid w:val="00007771"/>
    <w:rsid w:val="00007FE8"/>
    <w:rsid w:val="00014086"/>
    <w:rsid w:val="000155D3"/>
    <w:rsid w:val="000176D6"/>
    <w:rsid w:val="000228C7"/>
    <w:rsid w:val="00023A10"/>
    <w:rsid w:val="0002452C"/>
    <w:rsid w:val="0003403C"/>
    <w:rsid w:val="0004392E"/>
    <w:rsid w:val="00046143"/>
    <w:rsid w:val="00051C07"/>
    <w:rsid w:val="000526D2"/>
    <w:rsid w:val="00052746"/>
    <w:rsid w:val="00057756"/>
    <w:rsid w:val="00057F33"/>
    <w:rsid w:val="00061A4A"/>
    <w:rsid w:val="00077F6D"/>
    <w:rsid w:val="0008268E"/>
    <w:rsid w:val="00087C6C"/>
    <w:rsid w:val="000909E9"/>
    <w:rsid w:val="00092467"/>
    <w:rsid w:val="00094781"/>
    <w:rsid w:val="000A7D78"/>
    <w:rsid w:val="000C1CE2"/>
    <w:rsid w:val="000C2A3A"/>
    <w:rsid w:val="000D2FC4"/>
    <w:rsid w:val="000D686F"/>
    <w:rsid w:val="000D7023"/>
    <w:rsid w:val="000D70D2"/>
    <w:rsid w:val="000F1D32"/>
    <w:rsid w:val="000F3A41"/>
    <w:rsid w:val="000F4131"/>
    <w:rsid w:val="000F4AE0"/>
    <w:rsid w:val="000F5454"/>
    <w:rsid w:val="000F6EFC"/>
    <w:rsid w:val="001008D5"/>
    <w:rsid w:val="00103EAF"/>
    <w:rsid w:val="001058B4"/>
    <w:rsid w:val="00107319"/>
    <w:rsid w:val="00112656"/>
    <w:rsid w:val="00113496"/>
    <w:rsid w:val="00114E00"/>
    <w:rsid w:val="00115719"/>
    <w:rsid w:val="00120EEB"/>
    <w:rsid w:val="001211C9"/>
    <w:rsid w:val="00123002"/>
    <w:rsid w:val="0012765C"/>
    <w:rsid w:val="001279CA"/>
    <w:rsid w:val="001332EA"/>
    <w:rsid w:val="00136191"/>
    <w:rsid w:val="001409CD"/>
    <w:rsid w:val="00144D82"/>
    <w:rsid w:val="00145B13"/>
    <w:rsid w:val="00160DC5"/>
    <w:rsid w:val="0016421D"/>
    <w:rsid w:val="00166CEE"/>
    <w:rsid w:val="0017074E"/>
    <w:rsid w:val="00176BE5"/>
    <w:rsid w:val="00177A0B"/>
    <w:rsid w:val="001834AE"/>
    <w:rsid w:val="00194DFA"/>
    <w:rsid w:val="001A0B9F"/>
    <w:rsid w:val="001A2873"/>
    <w:rsid w:val="001A624A"/>
    <w:rsid w:val="001A72F4"/>
    <w:rsid w:val="001B7305"/>
    <w:rsid w:val="001E05AA"/>
    <w:rsid w:val="001E1041"/>
    <w:rsid w:val="001E1AD3"/>
    <w:rsid w:val="001E445D"/>
    <w:rsid w:val="001E5CF9"/>
    <w:rsid w:val="001E7379"/>
    <w:rsid w:val="001F0002"/>
    <w:rsid w:val="001F29CD"/>
    <w:rsid w:val="001F3B2F"/>
    <w:rsid w:val="001F4004"/>
    <w:rsid w:val="001F40AE"/>
    <w:rsid w:val="001F47AC"/>
    <w:rsid w:val="00202E78"/>
    <w:rsid w:val="0021238D"/>
    <w:rsid w:val="002175DA"/>
    <w:rsid w:val="00221DD3"/>
    <w:rsid w:val="00224596"/>
    <w:rsid w:val="00234E7E"/>
    <w:rsid w:val="00246EF6"/>
    <w:rsid w:val="00247E32"/>
    <w:rsid w:val="00251893"/>
    <w:rsid w:val="002657AE"/>
    <w:rsid w:val="002709DA"/>
    <w:rsid w:val="00273E77"/>
    <w:rsid w:val="00275276"/>
    <w:rsid w:val="002810B0"/>
    <w:rsid w:val="002819E9"/>
    <w:rsid w:val="00282D0B"/>
    <w:rsid w:val="00283F7E"/>
    <w:rsid w:val="00287558"/>
    <w:rsid w:val="00293C62"/>
    <w:rsid w:val="0029681F"/>
    <w:rsid w:val="002B0E85"/>
    <w:rsid w:val="002B10F8"/>
    <w:rsid w:val="002B2613"/>
    <w:rsid w:val="002C022B"/>
    <w:rsid w:val="002C3BDE"/>
    <w:rsid w:val="002D1612"/>
    <w:rsid w:val="002D259F"/>
    <w:rsid w:val="002D6907"/>
    <w:rsid w:val="002E10FA"/>
    <w:rsid w:val="002E24E4"/>
    <w:rsid w:val="002E3C75"/>
    <w:rsid w:val="002F0802"/>
    <w:rsid w:val="00300D48"/>
    <w:rsid w:val="00323EB2"/>
    <w:rsid w:val="0033437B"/>
    <w:rsid w:val="00334DDD"/>
    <w:rsid w:val="003448FF"/>
    <w:rsid w:val="00344E27"/>
    <w:rsid w:val="00351E8B"/>
    <w:rsid w:val="00361C7A"/>
    <w:rsid w:val="00362E1B"/>
    <w:rsid w:val="0036741A"/>
    <w:rsid w:val="003704A7"/>
    <w:rsid w:val="00371DAB"/>
    <w:rsid w:val="0037247A"/>
    <w:rsid w:val="003755B3"/>
    <w:rsid w:val="003867FB"/>
    <w:rsid w:val="00386B2D"/>
    <w:rsid w:val="00390048"/>
    <w:rsid w:val="00390B87"/>
    <w:rsid w:val="003939D2"/>
    <w:rsid w:val="00396B25"/>
    <w:rsid w:val="003A3536"/>
    <w:rsid w:val="003C0650"/>
    <w:rsid w:val="003D07C9"/>
    <w:rsid w:val="003D3E83"/>
    <w:rsid w:val="003D7378"/>
    <w:rsid w:val="003E6E5E"/>
    <w:rsid w:val="003F003B"/>
    <w:rsid w:val="003F33E7"/>
    <w:rsid w:val="003F48B2"/>
    <w:rsid w:val="003F4E7C"/>
    <w:rsid w:val="003F6735"/>
    <w:rsid w:val="0040212B"/>
    <w:rsid w:val="00404AFB"/>
    <w:rsid w:val="00404C65"/>
    <w:rsid w:val="004053A2"/>
    <w:rsid w:val="00406F5D"/>
    <w:rsid w:val="004126CF"/>
    <w:rsid w:val="00412B3A"/>
    <w:rsid w:val="0041717C"/>
    <w:rsid w:val="0042206E"/>
    <w:rsid w:val="00423E8F"/>
    <w:rsid w:val="004348C9"/>
    <w:rsid w:val="00434D43"/>
    <w:rsid w:val="00436308"/>
    <w:rsid w:val="00441E30"/>
    <w:rsid w:val="0044302B"/>
    <w:rsid w:val="004441DE"/>
    <w:rsid w:val="0045241A"/>
    <w:rsid w:val="004538C2"/>
    <w:rsid w:val="00457774"/>
    <w:rsid w:val="004577BA"/>
    <w:rsid w:val="00461B14"/>
    <w:rsid w:val="0047265F"/>
    <w:rsid w:val="0047557A"/>
    <w:rsid w:val="004872AD"/>
    <w:rsid w:val="004907E3"/>
    <w:rsid w:val="004A11E5"/>
    <w:rsid w:val="004A1923"/>
    <w:rsid w:val="004A291D"/>
    <w:rsid w:val="004B20A3"/>
    <w:rsid w:val="004B2A1B"/>
    <w:rsid w:val="004B5A4D"/>
    <w:rsid w:val="004B74AB"/>
    <w:rsid w:val="004C10EF"/>
    <w:rsid w:val="004C4B6E"/>
    <w:rsid w:val="004D3853"/>
    <w:rsid w:val="004D74A7"/>
    <w:rsid w:val="004E33AD"/>
    <w:rsid w:val="004E447B"/>
    <w:rsid w:val="004E6707"/>
    <w:rsid w:val="004E6B91"/>
    <w:rsid w:val="00500FBA"/>
    <w:rsid w:val="005016C2"/>
    <w:rsid w:val="00501AB2"/>
    <w:rsid w:val="005038F7"/>
    <w:rsid w:val="005107A8"/>
    <w:rsid w:val="00510F01"/>
    <w:rsid w:val="00511C09"/>
    <w:rsid w:val="00516E4C"/>
    <w:rsid w:val="00517EEF"/>
    <w:rsid w:val="00523A66"/>
    <w:rsid w:val="00524E0B"/>
    <w:rsid w:val="00532500"/>
    <w:rsid w:val="005511D3"/>
    <w:rsid w:val="005566DF"/>
    <w:rsid w:val="00570AA0"/>
    <w:rsid w:val="00574DE4"/>
    <w:rsid w:val="00577A04"/>
    <w:rsid w:val="0058116A"/>
    <w:rsid w:val="00583018"/>
    <w:rsid w:val="005870F0"/>
    <w:rsid w:val="005906F6"/>
    <w:rsid w:val="005911E2"/>
    <w:rsid w:val="005B72EF"/>
    <w:rsid w:val="005C6D7E"/>
    <w:rsid w:val="005C7B08"/>
    <w:rsid w:val="005D5E2B"/>
    <w:rsid w:val="005D7ACF"/>
    <w:rsid w:val="005E7CEA"/>
    <w:rsid w:val="005F2C10"/>
    <w:rsid w:val="005F337F"/>
    <w:rsid w:val="005F4259"/>
    <w:rsid w:val="00603D3A"/>
    <w:rsid w:val="00604ED6"/>
    <w:rsid w:val="00610282"/>
    <w:rsid w:val="0061261B"/>
    <w:rsid w:val="00612FEC"/>
    <w:rsid w:val="006152AD"/>
    <w:rsid w:val="00625C78"/>
    <w:rsid w:val="0062647B"/>
    <w:rsid w:val="00626C22"/>
    <w:rsid w:val="006305CE"/>
    <w:rsid w:val="00637501"/>
    <w:rsid w:val="006408A0"/>
    <w:rsid w:val="00640C25"/>
    <w:rsid w:val="00652D3B"/>
    <w:rsid w:val="00653F9C"/>
    <w:rsid w:val="006627BF"/>
    <w:rsid w:val="006638D3"/>
    <w:rsid w:val="00682235"/>
    <w:rsid w:val="00693939"/>
    <w:rsid w:val="00696CC5"/>
    <w:rsid w:val="00697E07"/>
    <w:rsid w:val="006A0F89"/>
    <w:rsid w:val="006A48FD"/>
    <w:rsid w:val="006A6ED7"/>
    <w:rsid w:val="006B3EC0"/>
    <w:rsid w:val="006B6E74"/>
    <w:rsid w:val="006B77D7"/>
    <w:rsid w:val="006C1F4B"/>
    <w:rsid w:val="006C4515"/>
    <w:rsid w:val="006C5544"/>
    <w:rsid w:val="006C594F"/>
    <w:rsid w:val="006C68F4"/>
    <w:rsid w:val="006D2B66"/>
    <w:rsid w:val="006D417E"/>
    <w:rsid w:val="006E632B"/>
    <w:rsid w:val="007005A9"/>
    <w:rsid w:val="007040B8"/>
    <w:rsid w:val="007041E2"/>
    <w:rsid w:val="00705453"/>
    <w:rsid w:val="0071410D"/>
    <w:rsid w:val="00715D9E"/>
    <w:rsid w:val="00722738"/>
    <w:rsid w:val="00723B57"/>
    <w:rsid w:val="00727860"/>
    <w:rsid w:val="0073194B"/>
    <w:rsid w:val="007376A0"/>
    <w:rsid w:val="007525B9"/>
    <w:rsid w:val="00754A6E"/>
    <w:rsid w:val="00754A84"/>
    <w:rsid w:val="007557DA"/>
    <w:rsid w:val="00756659"/>
    <w:rsid w:val="007641E9"/>
    <w:rsid w:val="00765AF5"/>
    <w:rsid w:val="0077144C"/>
    <w:rsid w:val="00776851"/>
    <w:rsid w:val="00777E5F"/>
    <w:rsid w:val="00781B54"/>
    <w:rsid w:val="0078365E"/>
    <w:rsid w:val="007875A6"/>
    <w:rsid w:val="00793AD3"/>
    <w:rsid w:val="007A4FA0"/>
    <w:rsid w:val="007B094C"/>
    <w:rsid w:val="007B0B7E"/>
    <w:rsid w:val="007B1985"/>
    <w:rsid w:val="007B6656"/>
    <w:rsid w:val="007C5EA8"/>
    <w:rsid w:val="007D0425"/>
    <w:rsid w:val="007D11D3"/>
    <w:rsid w:val="007E25D7"/>
    <w:rsid w:val="008024F6"/>
    <w:rsid w:val="00805A3F"/>
    <w:rsid w:val="008067B8"/>
    <w:rsid w:val="00806E68"/>
    <w:rsid w:val="008078AF"/>
    <w:rsid w:val="00812421"/>
    <w:rsid w:val="00814DC7"/>
    <w:rsid w:val="00816FE1"/>
    <w:rsid w:val="00820B9C"/>
    <w:rsid w:val="0082131C"/>
    <w:rsid w:val="00824297"/>
    <w:rsid w:val="0083289C"/>
    <w:rsid w:val="00832F32"/>
    <w:rsid w:val="00835028"/>
    <w:rsid w:val="00846ED6"/>
    <w:rsid w:val="008612C0"/>
    <w:rsid w:val="00861389"/>
    <w:rsid w:val="00861C27"/>
    <w:rsid w:val="00862624"/>
    <w:rsid w:val="0086423F"/>
    <w:rsid w:val="008678C1"/>
    <w:rsid w:val="00871A5C"/>
    <w:rsid w:val="00872E68"/>
    <w:rsid w:val="0087450A"/>
    <w:rsid w:val="00874AEA"/>
    <w:rsid w:val="00876BA0"/>
    <w:rsid w:val="008830D5"/>
    <w:rsid w:val="00886EA7"/>
    <w:rsid w:val="0089256F"/>
    <w:rsid w:val="00893FB6"/>
    <w:rsid w:val="00895C44"/>
    <w:rsid w:val="008A0DE7"/>
    <w:rsid w:val="008A1054"/>
    <w:rsid w:val="008A2EA3"/>
    <w:rsid w:val="008A3601"/>
    <w:rsid w:val="008A5E3D"/>
    <w:rsid w:val="008B12C6"/>
    <w:rsid w:val="008B21A9"/>
    <w:rsid w:val="008B452F"/>
    <w:rsid w:val="008B7C6A"/>
    <w:rsid w:val="008C17B2"/>
    <w:rsid w:val="008C4138"/>
    <w:rsid w:val="008D608B"/>
    <w:rsid w:val="008F3545"/>
    <w:rsid w:val="00904A88"/>
    <w:rsid w:val="009050ED"/>
    <w:rsid w:val="00905B14"/>
    <w:rsid w:val="0090605E"/>
    <w:rsid w:val="0092044E"/>
    <w:rsid w:val="0092048A"/>
    <w:rsid w:val="00921E51"/>
    <w:rsid w:val="00927B4D"/>
    <w:rsid w:val="00930884"/>
    <w:rsid w:val="00935E4B"/>
    <w:rsid w:val="00936ACA"/>
    <w:rsid w:val="00937857"/>
    <w:rsid w:val="00945961"/>
    <w:rsid w:val="009556D9"/>
    <w:rsid w:val="009568FC"/>
    <w:rsid w:val="009655F0"/>
    <w:rsid w:val="009731E0"/>
    <w:rsid w:val="00975CE8"/>
    <w:rsid w:val="00990780"/>
    <w:rsid w:val="009A3FB7"/>
    <w:rsid w:val="009A45C3"/>
    <w:rsid w:val="009A6860"/>
    <w:rsid w:val="009B04AA"/>
    <w:rsid w:val="009B3A6A"/>
    <w:rsid w:val="009B4620"/>
    <w:rsid w:val="009D4E6F"/>
    <w:rsid w:val="009D59B6"/>
    <w:rsid w:val="009D743F"/>
    <w:rsid w:val="009E08AD"/>
    <w:rsid w:val="009E3006"/>
    <w:rsid w:val="009E37D8"/>
    <w:rsid w:val="009F16D1"/>
    <w:rsid w:val="009F3680"/>
    <w:rsid w:val="00A06261"/>
    <w:rsid w:val="00A11F9E"/>
    <w:rsid w:val="00A148E8"/>
    <w:rsid w:val="00A17F7D"/>
    <w:rsid w:val="00A23299"/>
    <w:rsid w:val="00A33A14"/>
    <w:rsid w:val="00A35E45"/>
    <w:rsid w:val="00A4369D"/>
    <w:rsid w:val="00A43CE2"/>
    <w:rsid w:val="00A5323F"/>
    <w:rsid w:val="00A6150D"/>
    <w:rsid w:val="00A661DC"/>
    <w:rsid w:val="00A66516"/>
    <w:rsid w:val="00A66872"/>
    <w:rsid w:val="00A66B3D"/>
    <w:rsid w:val="00A67AA9"/>
    <w:rsid w:val="00A73CC7"/>
    <w:rsid w:val="00A81C8C"/>
    <w:rsid w:val="00A81D12"/>
    <w:rsid w:val="00A84D03"/>
    <w:rsid w:val="00A85D26"/>
    <w:rsid w:val="00A93A9D"/>
    <w:rsid w:val="00AA2FD7"/>
    <w:rsid w:val="00AA44F6"/>
    <w:rsid w:val="00AA5B05"/>
    <w:rsid w:val="00AB2A5E"/>
    <w:rsid w:val="00AC0631"/>
    <w:rsid w:val="00AC2449"/>
    <w:rsid w:val="00AC7877"/>
    <w:rsid w:val="00AE18A6"/>
    <w:rsid w:val="00AE36B7"/>
    <w:rsid w:val="00AE78C1"/>
    <w:rsid w:val="00AF1120"/>
    <w:rsid w:val="00AF39F0"/>
    <w:rsid w:val="00B04972"/>
    <w:rsid w:val="00B0626B"/>
    <w:rsid w:val="00B06EC2"/>
    <w:rsid w:val="00B1048D"/>
    <w:rsid w:val="00B12F40"/>
    <w:rsid w:val="00B14CEB"/>
    <w:rsid w:val="00B16C89"/>
    <w:rsid w:val="00B21AB0"/>
    <w:rsid w:val="00B276F9"/>
    <w:rsid w:val="00B32135"/>
    <w:rsid w:val="00B34060"/>
    <w:rsid w:val="00B348A4"/>
    <w:rsid w:val="00B516AF"/>
    <w:rsid w:val="00B531F7"/>
    <w:rsid w:val="00B54593"/>
    <w:rsid w:val="00B62DEA"/>
    <w:rsid w:val="00B64CFC"/>
    <w:rsid w:val="00B654A5"/>
    <w:rsid w:val="00B65561"/>
    <w:rsid w:val="00B70766"/>
    <w:rsid w:val="00B70972"/>
    <w:rsid w:val="00B74D1D"/>
    <w:rsid w:val="00B76A17"/>
    <w:rsid w:val="00B80BB7"/>
    <w:rsid w:val="00B833C4"/>
    <w:rsid w:val="00B872C4"/>
    <w:rsid w:val="00B92F40"/>
    <w:rsid w:val="00B940BD"/>
    <w:rsid w:val="00BA2485"/>
    <w:rsid w:val="00BA36BC"/>
    <w:rsid w:val="00BA7284"/>
    <w:rsid w:val="00BB0BF4"/>
    <w:rsid w:val="00BB2FDF"/>
    <w:rsid w:val="00BC15BA"/>
    <w:rsid w:val="00BC34D1"/>
    <w:rsid w:val="00BE3D54"/>
    <w:rsid w:val="00BE41CE"/>
    <w:rsid w:val="00BE4CEA"/>
    <w:rsid w:val="00C03BA2"/>
    <w:rsid w:val="00C110C2"/>
    <w:rsid w:val="00C2095F"/>
    <w:rsid w:val="00C24637"/>
    <w:rsid w:val="00C317C9"/>
    <w:rsid w:val="00C36C53"/>
    <w:rsid w:val="00C457F2"/>
    <w:rsid w:val="00C50A82"/>
    <w:rsid w:val="00C60560"/>
    <w:rsid w:val="00C627DF"/>
    <w:rsid w:val="00C774E6"/>
    <w:rsid w:val="00C8299B"/>
    <w:rsid w:val="00C83904"/>
    <w:rsid w:val="00C87B7E"/>
    <w:rsid w:val="00CA2B4F"/>
    <w:rsid w:val="00CB58E2"/>
    <w:rsid w:val="00CB7CBF"/>
    <w:rsid w:val="00CC0C41"/>
    <w:rsid w:val="00CC68DF"/>
    <w:rsid w:val="00CD0B1D"/>
    <w:rsid w:val="00CD0C5C"/>
    <w:rsid w:val="00CD2D27"/>
    <w:rsid w:val="00CD6A22"/>
    <w:rsid w:val="00CF1BB3"/>
    <w:rsid w:val="00CF6A35"/>
    <w:rsid w:val="00D00C0A"/>
    <w:rsid w:val="00D01D08"/>
    <w:rsid w:val="00D05155"/>
    <w:rsid w:val="00D126B0"/>
    <w:rsid w:val="00D156F3"/>
    <w:rsid w:val="00D22064"/>
    <w:rsid w:val="00D22CFA"/>
    <w:rsid w:val="00D236CE"/>
    <w:rsid w:val="00D302BC"/>
    <w:rsid w:val="00D40850"/>
    <w:rsid w:val="00D4225D"/>
    <w:rsid w:val="00D426B0"/>
    <w:rsid w:val="00D53A90"/>
    <w:rsid w:val="00D54AA5"/>
    <w:rsid w:val="00D56AB6"/>
    <w:rsid w:val="00D617FD"/>
    <w:rsid w:val="00D618C1"/>
    <w:rsid w:val="00D61F8F"/>
    <w:rsid w:val="00D65CF1"/>
    <w:rsid w:val="00D72BF8"/>
    <w:rsid w:val="00D72FD4"/>
    <w:rsid w:val="00D83FBB"/>
    <w:rsid w:val="00D850F5"/>
    <w:rsid w:val="00D86149"/>
    <w:rsid w:val="00D97BB8"/>
    <w:rsid w:val="00DA0312"/>
    <w:rsid w:val="00DA6A7E"/>
    <w:rsid w:val="00DB551D"/>
    <w:rsid w:val="00DB65B0"/>
    <w:rsid w:val="00DC3B0F"/>
    <w:rsid w:val="00DC3B72"/>
    <w:rsid w:val="00DC6ACD"/>
    <w:rsid w:val="00DE32C2"/>
    <w:rsid w:val="00DF10AC"/>
    <w:rsid w:val="00E02C91"/>
    <w:rsid w:val="00E03E41"/>
    <w:rsid w:val="00E04685"/>
    <w:rsid w:val="00E048C7"/>
    <w:rsid w:val="00E11BE1"/>
    <w:rsid w:val="00E16BF8"/>
    <w:rsid w:val="00E20E84"/>
    <w:rsid w:val="00E2427B"/>
    <w:rsid w:val="00E26B6D"/>
    <w:rsid w:val="00E30312"/>
    <w:rsid w:val="00E3203C"/>
    <w:rsid w:val="00E34B35"/>
    <w:rsid w:val="00E35467"/>
    <w:rsid w:val="00E358D3"/>
    <w:rsid w:val="00E35F8D"/>
    <w:rsid w:val="00E43D4A"/>
    <w:rsid w:val="00E442DC"/>
    <w:rsid w:val="00E504A5"/>
    <w:rsid w:val="00E50C2D"/>
    <w:rsid w:val="00E54D63"/>
    <w:rsid w:val="00E65D79"/>
    <w:rsid w:val="00E666CE"/>
    <w:rsid w:val="00E74933"/>
    <w:rsid w:val="00E77263"/>
    <w:rsid w:val="00E93363"/>
    <w:rsid w:val="00EA44CE"/>
    <w:rsid w:val="00EA4BE0"/>
    <w:rsid w:val="00EA5902"/>
    <w:rsid w:val="00EB514B"/>
    <w:rsid w:val="00EC3338"/>
    <w:rsid w:val="00EC50F6"/>
    <w:rsid w:val="00EC694E"/>
    <w:rsid w:val="00ED63BA"/>
    <w:rsid w:val="00EE1D24"/>
    <w:rsid w:val="00EF4125"/>
    <w:rsid w:val="00EF6520"/>
    <w:rsid w:val="00F03F9F"/>
    <w:rsid w:val="00F0596B"/>
    <w:rsid w:val="00F065CB"/>
    <w:rsid w:val="00F16ADF"/>
    <w:rsid w:val="00F20A36"/>
    <w:rsid w:val="00F2333A"/>
    <w:rsid w:val="00F25E62"/>
    <w:rsid w:val="00F34836"/>
    <w:rsid w:val="00F34B8B"/>
    <w:rsid w:val="00F411B7"/>
    <w:rsid w:val="00F44D64"/>
    <w:rsid w:val="00F4571F"/>
    <w:rsid w:val="00F52EB3"/>
    <w:rsid w:val="00F53605"/>
    <w:rsid w:val="00F5372B"/>
    <w:rsid w:val="00F54544"/>
    <w:rsid w:val="00F553D7"/>
    <w:rsid w:val="00F5785C"/>
    <w:rsid w:val="00F614B1"/>
    <w:rsid w:val="00F63077"/>
    <w:rsid w:val="00F710C5"/>
    <w:rsid w:val="00F75687"/>
    <w:rsid w:val="00F778AE"/>
    <w:rsid w:val="00F821B9"/>
    <w:rsid w:val="00F82858"/>
    <w:rsid w:val="00F82F61"/>
    <w:rsid w:val="00F93A02"/>
    <w:rsid w:val="00F94335"/>
    <w:rsid w:val="00F970D6"/>
    <w:rsid w:val="00F9790D"/>
    <w:rsid w:val="00FA2796"/>
    <w:rsid w:val="00FA49B1"/>
    <w:rsid w:val="00FB2585"/>
    <w:rsid w:val="00FB4943"/>
    <w:rsid w:val="00FC2D5F"/>
    <w:rsid w:val="00FC6C97"/>
    <w:rsid w:val="00FD0D3B"/>
    <w:rsid w:val="00FD263D"/>
    <w:rsid w:val="00FD40F0"/>
    <w:rsid w:val="00FD79DB"/>
    <w:rsid w:val="00FD7F1F"/>
    <w:rsid w:val="00FE0D80"/>
    <w:rsid w:val="00FE1325"/>
    <w:rsid w:val="00FF2023"/>
    <w:rsid w:val="00FF2C89"/>
    <w:rsid w:val="00FF2E14"/>
    <w:rsid w:val="00FF4F8B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BF8"/>
  </w:style>
  <w:style w:type="paragraph" w:styleId="Pidipagina">
    <w:name w:val="footer"/>
    <w:basedOn w:val="Normale"/>
    <w:link w:val="PidipaginaCarattere"/>
    <w:uiPriority w:val="99"/>
    <w:unhideWhenUsed/>
    <w:rsid w:val="00E1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BF8"/>
  </w:style>
  <w:style w:type="character" w:styleId="Enfasigrassetto">
    <w:name w:val="Strong"/>
    <w:basedOn w:val="Carpredefinitoparagrafo"/>
    <w:uiPriority w:val="22"/>
    <w:qFormat/>
    <w:rsid w:val="009B3A6A"/>
    <w:rPr>
      <w:b/>
      <w:bCs/>
    </w:rPr>
  </w:style>
  <w:style w:type="paragraph" w:styleId="Paragrafoelenco">
    <w:name w:val="List Paragraph"/>
    <w:basedOn w:val="Normale"/>
    <w:uiPriority w:val="34"/>
    <w:qFormat/>
    <w:rsid w:val="00282D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D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BF8"/>
  </w:style>
  <w:style w:type="paragraph" w:styleId="Pidipagina">
    <w:name w:val="footer"/>
    <w:basedOn w:val="Normale"/>
    <w:link w:val="PidipaginaCarattere"/>
    <w:uiPriority w:val="99"/>
    <w:unhideWhenUsed/>
    <w:rsid w:val="00E1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BF8"/>
  </w:style>
  <w:style w:type="character" w:styleId="Enfasigrassetto">
    <w:name w:val="Strong"/>
    <w:basedOn w:val="Carpredefinitoparagrafo"/>
    <w:uiPriority w:val="22"/>
    <w:qFormat/>
    <w:rsid w:val="009B3A6A"/>
    <w:rPr>
      <w:b/>
      <w:bCs/>
    </w:rPr>
  </w:style>
  <w:style w:type="paragraph" w:styleId="Paragrafoelenco">
    <w:name w:val="List Paragraph"/>
    <w:basedOn w:val="Normale"/>
    <w:uiPriority w:val="34"/>
    <w:qFormat/>
    <w:rsid w:val="00282D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D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ser.bassolar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FC16-47F7-43D4-A12C-01CB3F21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Samsung</cp:lastModifiedBy>
  <cp:revision>10</cp:revision>
  <cp:lastPrinted>2023-03-29T19:03:00Z</cp:lastPrinted>
  <dcterms:created xsi:type="dcterms:W3CDTF">2023-03-10T12:53:00Z</dcterms:created>
  <dcterms:modified xsi:type="dcterms:W3CDTF">2023-04-02T08:37:00Z</dcterms:modified>
</cp:coreProperties>
</file>